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b/>
          <w:sz w:val="22"/>
          <w:szCs w:val="22"/>
        </w:rPr>
      </w:pPr>
      <w:r>
        <w:rPr>
          <w:rFonts w:hint="eastAsia" w:hAnsi="宋体"/>
          <w:sz w:val="22"/>
          <w:szCs w:val="22"/>
        </w:rPr>
        <w:t>GE设备维保院内论证要求</w:t>
      </w:r>
    </w:p>
    <w:p>
      <w:pPr>
        <w:pStyle w:val="2"/>
        <w:numPr>
          <w:ilvl w:val="0"/>
          <w:numId w:val="2"/>
        </w:numPr>
        <w:spacing w:before="0" w:after="0" w:line="360" w:lineRule="auto"/>
        <w:rPr>
          <w:rFonts w:ascii="宋体" w:hAnsi="宋体" w:eastAsia="宋体"/>
          <w:color w:val="000000" w:themeColor="text1"/>
          <w:sz w:val="21"/>
          <w:szCs w:val="21"/>
        </w:rPr>
      </w:pPr>
      <w:r>
        <w:rPr>
          <w:rFonts w:hint="eastAsia" w:ascii="宋体" w:hAnsi="宋体" w:eastAsia="宋体"/>
          <w:color w:val="000000" w:themeColor="text1"/>
          <w:sz w:val="21"/>
          <w:szCs w:val="21"/>
        </w:rPr>
        <w:t>项目概述</w:t>
      </w:r>
    </w:p>
    <w:p>
      <w:pPr>
        <w:spacing w:line="360" w:lineRule="auto"/>
        <w:ind w:firstLine="420" w:firstLineChars="200"/>
        <w:rPr>
          <w:rFonts w:ascii="宋体" w:hAnsi="宋体"/>
          <w:color w:val="000000" w:themeColor="text1"/>
          <w:szCs w:val="28"/>
        </w:rPr>
      </w:pPr>
      <w:r>
        <w:rPr>
          <w:rFonts w:hint="eastAsia" w:ascii="宋体" w:hAnsi="宋体"/>
          <w:color w:val="000000" w:themeColor="text1"/>
          <w:szCs w:val="28"/>
        </w:rPr>
        <w:t>本项目为江门市中心医院西门子设备维修保养服务。服务商（维保单位）必须按国家、行业的标准及招标文件的要求对项目内的设备进行系统的、全面的检测、维护及保养，以保证设备的高效、正常运作。</w:t>
      </w:r>
    </w:p>
    <w:p>
      <w:pPr>
        <w:pStyle w:val="2"/>
        <w:numPr>
          <w:ilvl w:val="0"/>
          <w:numId w:val="2"/>
        </w:numPr>
        <w:spacing w:before="0" w:after="0" w:line="360" w:lineRule="auto"/>
        <w:rPr>
          <w:rFonts w:ascii="宋体" w:hAnsi="宋体" w:eastAsia="宋体"/>
          <w:color w:val="000000" w:themeColor="text1"/>
          <w:sz w:val="21"/>
          <w:szCs w:val="21"/>
        </w:rPr>
      </w:pPr>
      <w:r>
        <w:rPr>
          <w:rFonts w:hint="eastAsia" w:ascii="宋体" w:hAnsi="宋体" w:eastAsia="宋体"/>
          <w:color w:val="000000" w:themeColor="text1"/>
          <w:sz w:val="21"/>
          <w:szCs w:val="21"/>
        </w:rPr>
        <w:t>项目内容</w:t>
      </w:r>
    </w:p>
    <w:p>
      <w:pPr>
        <w:numPr>
          <w:ilvl w:val="1"/>
          <w:numId w:val="3"/>
        </w:numPr>
        <w:tabs>
          <w:tab w:val="left" w:pos="709"/>
        </w:tabs>
        <w:spacing w:line="360" w:lineRule="auto"/>
        <w:rPr>
          <w:rFonts w:ascii="宋体" w:hAnsi="宋体"/>
          <w:color w:val="000000" w:themeColor="text1"/>
          <w:szCs w:val="21"/>
        </w:rPr>
      </w:pPr>
      <w:r>
        <w:rPr>
          <w:rFonts w:hint="eastAsia" w:ascii="宋体" w:hAnsi="宋体"/>
          <w:color w:val="000000" w:themeColor="text1"/>
          <w:szCs w:val="21"/>
        </w:rPr>
        <w:t>采购内容：</w:t>
      </w:r>
      <w:r>
        <w:rPr>
          <w:rFonts w:hint="eastAsia" w:hAnsi="宋体"/>
          <w:color w:val="000000" w:themeColor="text1"/>
        </w:rPr>
        <w:t>江门市中心医院西门子设备</w:t>
      </w:r>
      <w:r>
        <w:rPr>
          <w:rFonts w:hint="eastAsia" w:hAnsi="宋体"/>
          <w:color w:val="000000" w:themeColor="text1"/>
          <w:u w:val="single"/>
        </w:rPr>
        <w:t>全保</w:t>
      </w:r>
      <w:r>
        <w:rPr>
          <w:rFonts w:hint="eastAsia" w:hAnsi="宋体"/>
          <w:color w:val="000000" w:themeColor="text1"/>
        </w:rPr>
        <w:t>保修服务</w:t>
      </w:r>
    </w:p>
    <w:p>
      <w:pPr>
        <w:numPr>
          <w:ilvl w:val="1"/>
          <w:numId w:val="3"/>
        </w:numPr>
        <w:tabs>
          <w:tab w:val="left" w:pos="709"/>
        </w:tabs>
        <w:adjustRightInd w:val="0"/>
        <w:snapToGrid w:val="0"/>
        <w:spacing w:line="360" w:lineRule="auto"/>
        <w:rPr>
          <w:rFonts w:ascii="宋体" w:hAnsi="宋体"/>
          <w:color w:val="000000" w:themeColor="text1"/>
          <w:szCs w:val="21"/>
        </w:rPr>
      </w:pPr>
      <w:r>
        <w:rPr>
          <w:rFonts w:hint="eastAsia" w:ascii="宋体" w:hAnsi="宋体"/>
          <w:color w:val="000000" w:themeColor="text1"/>
          <w:szCs w:val="21"/>
        </w:rPr>
        <w:t>项目实施地点：江门市中心医院</w:t>
      </w:r>
    </w:p>
    <w:p>
      <w:pPr>
        <w:numPr>
          <w:ilvl w:val="1"/>
          <w:numId w:val="3"/>
        </w:numPr>
        <w:tabs>
          <w:tab w:val="left" w:pos="709"/>
        </w:tabs>
        <w:adjustRightInd w:val="0"/>
        <w:snapToGrid w:val="0"/>
        <w:spacing w:line="360" w:lineRule="auto"/>
        <w:rPr>
          <w:rFonts w:ascii="宋体" w:hAnsi="宋体"/>
          <w:color w:val="000000" w:themeColor="text1"/>
          <w:szCs w:val="21"/>
        </w:rPr>
      </w:pPr>
      <w:r>
        <w:rPr>
          <w:rFonts w:hint="eastAsia" w:ascii="宋体" w:hAnsi="宋体"/>
          <w:color w:val="000000" w:themeColor="text1"/>
          <w:szCs w:val="21"/>
        </w:rPr>
        <w:t>设备品牌及型号：GE Revolution Ace ES天目</w:t>
      </w:r>
    </w:p>
    <w:p>
      <w:pPr>
        <w:numPr>
          <w:ilvl w:val="1"/>
          <w:numId w:val="3"/>
        </w:numPr>
        <w:tabs>
          <w:tab w:val="left" w:pos="709"/>
        </w:tabs>
        <w:adjustRightInd w:val="0"/>
        <w:snapToGrid w:val="0"/>
        <w:spacing w:line="360" w:lineRule="auto"/>
        <w:rPr>
          <w:rFonts w:ascii="宋体" w:hAnsi="宋体"/>
          <w:color w:val="000000" w:themeColor="text1"/>
          <w:szCs w:val="21"/>
        </w:rPr>
      </w:pPr>
      <w:r>
        <w:rPr>
          <w:rFonts w:hint="eastAsia" w:ascii="宋体" w:hAnsi="宋体"/>
          <w:color w:val="000000" w:themeColor="text1"/>
          <w:szCs w:val="21"/>
        </w:rPr>
        <w:t>数量：壹</w:t>
      </w:r>
      <w:r>
        <w:rPr>
          <w:rFonts w:hint="eastAsia" w:ascii="宋体" w:hAnsi="宋体"/>
          <w:color w:val="000000" w:themeColor="text1"/>
          <w:szCs w:val="21"/>
          <w:lang w:eastAsia="zh-CN"/>
        </w:rPr>
        <w:t>套</w:t>
      </w:r>
      <w:r>
        <w:rPr>
          <w:rFonts w:hint="eastAsia" w:ascii="宋体" w:hAnsi="宋体"/>
          <w:color w:val="000000" w:themeColor="text1"/>
          <w:szCs w:val="21"/>
        </w:rPr>
        <w:t>。</w:t>
      </w:r>
    </w:p>
    <w:p>
      <w:pPr>
        <w:numPr>
          <w:ilvl w:val="1"/>
          <w:numId w:val="3"/>
        </w:numPr>
        <w:tabs>
          <w:tab w:val="left" w:pos="709"/>
        </w:tabs>
        <w:adjustRightInd w:val="0"/>
        <w:snapToGrid w:val="0"/>
        <w:spacing w:line="360" w:lineRule="auto"/>
        <w:rPr>
          <w:rFonts w:hAnsi="宋体"/>
          <w:color w:val="000000" w:themeColor="text1"/>
        </w:rPr>
      </w:pPr>
      <w:r>
        <w:rPr>
          <w:rFonts w:hint="eastAsia" w:ascii="宋体" w:hAnsi="宋体"/>
          <w:color w:val="000000" w:themeColor="text1"/>
          <w:szCs w:val="21"/>
        </w:rPr>
        <w:t>维修保养内容：整机全保（含球管、平板探测器、高压油箱）含定期预防性保养、故障维修、安全检查、安全升级，含所有人工费、差旅费、以及整机常规配件的故障更换。</w:t>
      </w:r>
    </w:p>
    <w:p>
      <w:pPr>
        <w:numPr>
          <w:ilvl w:val="1"/>
          <w:numId w:val="3"/>
        </w:numPr>
        <w:tabs>
          <w:tab w:val="left" w:pos="709"/>
        </w:tabs>
        <w:adjustRightInd w:val="0"/>
        <w:snapToGrid w:val="0"/>
        <w:spacing w:line="360" w:lineRule="auto"/>
        <w:rPr>
          <w:rFonts w:hAnsi="宋体"/>
          <w:color w:val="000000" w:themeColor="text1"/>
        </w:rPr>
      </w:pPr>
      <w:r>
        <w:rPr>
          <w:rFonts w:hint="eastAsia"/>
          <w:b/>
          <w:color w:val="000000" w:themeColor="text1"/>
          <w:lang w:val="en-GB"/>
        </w:rPr>
        <w:t>培训服务:</w:t>
      </w:r>
      <w:r>
        <w:rPr>
          <w:rFonts w:hint="eastAsia"/>
          <w:color w:val="000000" w:themeColor="text1"/>
        </w:rPr>
        <w:t>在合同期内为用户提供厂家</w:t>
      </w:r>
      <w:r>
        <w:rPr>
          <w:color w:val="000000" w:themeColor="text1"/>
        </w:rPr>
        <w:t>CT</w:t>
      </w:r>
      <w:r>
        <w:rPr>
          <w:rFonts w:hint="eastAsia"/>
          <w:color w:val="000000" w:themeColor="text1"/>
        </w:rPr>
        <w:t>应用或维护管理方面的培训。</w:t>
      </w:r>
      <w:r>
        <w:rPr>
          <w:rFonts w:hint="eastAsia" w:cs="Arial"/>
          <w:bCs/>
          <w:color w:val="000000" w:themeColor="text1"/>
          <w:sz w:val="18"/>
          <w:szCs w:val="18"/>
          <w:lang w:val="en-GB"/>
        </w:rPr>
        <w:t xml:space="preserve">  </w:t>
      </w:r>
    </w:p>
    <w:p>
      <w:pPr>
        <w:numPr>
          <w:ilvl w:val="1"/>
          <w:numId w:val="3"/>
        </w:numPr>
        <w:tabs>
          <w:tab w:val="left" w:pos="709"/>
        </w:tabs>
        <w:adjustRightInd w:val="0"/>
        <w:snapToGrid w:val="0"/>
        <w:spacing w:line="360" w:lineRule="auto"/>
        <w:rPr>
          <w:rFonts w:hAnsi="宋体"/>
          <w:color w:val="000000" w:themeColor="text1"/>
        </w:rPr>
      </w:pPr>
      <w:r>
        <w:rPr>
          <w:rFonts w:hint="eastAsia" w:hAnsi="宋体"/>
          <w:color w:val="000000" w:themeColor="text1"/>
        </w:rPr>
        <w:t>CT设备维修保养服务年限：</w:t>
      </w:r>
      <w:r>
        <w:rPr>
          <w:rFonts w:hint="eastAsia" w:hAnsi="宋体"/>
          <w:color w:val="000000" w:themeColor="text1"/>
          <w:lang w:val="en-US" w:eastAsia="zh-CN"/>
        </w:rPr>
        <w:t>1年</w:t>
      </w:r>
      <w:r>
        <w:rPr>
          <w:rFonts w:hint="eastAsia" w:hAnsi="宋体"/>
          <w:color w:val="000000" w:themeColor="text1"/>
        </w:rPr>
        <w:t>。</w:t>
      </w:r>
    </w:p>
    <w:p>
      <w:pPr>
        <w:tabs>
          <w:tab w:val="left" w:pos="709"/>
        </w:tabs>
        <w:spacing w:line="360" w:lineRule="auto"/>
        <w:ind w:left="680"/>
        <w:rPr>
          <w:rFonts w:ascii="宋体" w:hAnsi="宋体"/>
          <w:color w:val="000000" w:themeColor="text1"/>
          <w:szCs w:val="21"/>
        </w:rPr>
      </w:pPr>
    </w:p>
    <w:p>
      <w:pPr>
        <w:pStyle w:val="2"/>
        <w:numPr>
          <w:ilvl w:val="0"/>
          <w:numId w:val="2"/>
        </w:numPr>
        <w:spacing w:before="0" w:after="0" w:line="360" w:lineRule="auto"/>
        <w:rPr>
          <w:rFonts w:ascii="宋体" w:hAnsi="宋体" w:eastAsia="宋体"/>
          <w:color w:val="000000" w:themeColor="text1"/>
          <w:sz w:val="21"/>
          <w:szCs w:val="21"/>
        </w:rPr>
      </w:pPr>
      <w:r>
        <w:rPr>
          <w:rFonts w:hint="eastAsia" w:ascii="宋体" w:hAnsi="宋体" w:eastAsia="宋体"/>
          <w:color w:val="000000" w:themeColor="text1"/>
          <w:sz w:val="21"/>
          <w:szCs w:val="21"/>
        </w:rPr>
        <w:t>投标人商务要求</w:t>
      </w:r>
      <w:bookmarkStart w:id="3" w:name="_GoBack"/>
      <w:bookmarkEnd w:id="3"/>
    </w:p>
    <w:p>
      <w:pPr>
        <w:numPr>
          <w:ilvl w:val="0"/>
          <w:numId w:val="4"/>
        </w:numPr>
        <w:tabs>
          <w:tab w:val="left" w:pos="709"/>
        </w:tabs>
        <w:spacing w:line="360" w:lineRule="auto"/>
        <w:rPr>
          <w:rFonts w:ascii="宋体" w:hAnsi="宋体"/>
          <w:color w:val="000000" w:themeColor="text1"/>
          <w:szCs w:val="21"/>
        </w:rPr>
      </w:pPr>
      <w:r>
        <w:rPr>
          <w:rFonts w:hint="eastAsia" w:ascii="宋体" w:hAnsi="宋体"/>
          <w:color w:val="000000" w:themeColor="text1"/>
          <w:szCs w:val="21"/>
        </w:rPr>
        <w:t>▲</w:t>
      </w:r>
      <w:r>
        <w:rPr>
          <w:rFonts w:hint="eastAsia" w:hAnsi="宋体"/>
          <w:color w:val="000000" w:themeColor="text1"/>
        </w:rPr>
        <w:t>保修方资质保障：原制造厂商或原厂指定的维修授权或有技术合作协议的单位（提供相应证明材料）</w:t>
      </w:r>
    </w:p>
    <w:p>
      <w:pPr>
        <w:numPr>
          <w:ilvl w:val="0"/>
          <w:numId w:val="4"/>
        </w:numPr>
        <w:tabs>
          <w:tab w:val="left" w:pos="709"/>
        </w:tabs>
        <w:spacing w:line="360" w:lineRule="auto"/>
        <w:rPr>
          <w:rFonts w:ascii="宋体" w:hAnsi="宋体"/>
          <w:szCs w:val="21"/>
        </w:rPr>
      </w:pPr>
      <w:r>
        <w:rPr>
          <w:rFonts w:hint="eastAsia" w:ascii="宋体" w:hAnsi="宋体"/>
          <w:color w:val="000000" w:themeColor="text1"/>
          <w:szCs w:val="21"/>
        </w:rPr>
        <w:t>▲零配件的合法保障：国内设有至少两家零备件保税仓库，并且保税仓库面积不低于500平方</w:t>
      </w:r>
      <w:r>
        <w:rPr>
          <w:rFonts w:ascii="宋体" w:hAnsi="宋体"/>
          <w:color w:val="000000" w:themeColor="text1"/>
          <w:szCs w:val="21"/>
        </w:rPr>
        <w:t>(</w:t>
      </w:r>
      <w:r>
        <w:rPr>
          <w:rFonts w:hint="eastAsia" w:ascii="宋体" w:hAnsi="宋体"/>
          <w:color w:val="000000" w:themeColor="text1"/>
          <w:szCs w:val="21"/>
        </w:rPr>
        <w:t>提供相应证明材料，如租</w:t>
      </w:r>
      <w:r>
        <w:rPr>
          <w:rFonts w:hint="eastAsia" w:ascii="宋体" w:hAnsi="宋体"/>
          <w:szCs w:val="21"/>
        </w:rPr>
        <w:t>赁合同，并附仓库平面图</w:t>
      </w:r>
      <w:r>
        <w:rPr>
          <w:rFonts w:ascii="宋体" w:hAnsi="宋体"/>
          <w:szCs w:val="21"/>
        </w:rPr>
        <w:t>)</w:t>
      </w:r>
    </w:p>
    <w:p>
      <w:pPr>
        <w:numPr>
          <w:ilvl w:val="0"/>
          <w:numId w:val="4"/>
        </w:numPr>
        <w:tabs>
          <w:tab w:val="left" w:pos="709"/>
        </w:tabs>
        <w:spacing w:line="360" w:lineRule="auto"/>
        <w:rPr>
          <w:rFonts w:ascii="宋体" w:hAnsi="宋体"/>
          <w:szCs w:val="21"/>
        </w:rPr>
      </w:pPr>
      <w:r>
        <w:rPr>
          <w:rFonts w:hint="eastAsia" w:ascii="宋体" w:hAnsi="宋体"/>
          <w:szCs w:val="21"/>
        </w:rPr>
        <w:t>▲</w:t>
      </w:r>
      <w:r>
        <w:rPr>
          <w:rFonts w:hint="eastAsia" w:ascii="宋体" w:hAnsi="宋体" w:cs="宋体"/>
          <w:bCs/>
          <w:color w:val="000000"/>
          <w:kern w:val="0"/>
          <w:szCs w:val="21"/>
        </w:rPr>
        <w:t>技术保障要求：</w:t>
      </w:r>
      <w:r>
        <w:rPr>
          <w:rFonts w:hint="eastAsia" w:ascii="宋体" w:hAnsi="宋体"/>
          <w:szCs w:val="21"/>
        </w:rPr>
        <w:t>广州市设有维修站，至少有5名原厂培训工程师，均能提供相关技术支持</w:t>
      </w:r>
      <w:r>
        <w:rPr>
          <w:rFonts w:ascii="宋体" w:hAnsi="宋体"/>
          <w:szCs w:val="21"/>
        </w:rPr>
        <w:t>(</w:t>
      </w:r>
      <w:r>
        <w:rPr>
          <w:rFonts w:hint="eastAsia" w:ascii="宋体" w:hAnsi="宋体"/>
          <w:szCs w:val="21"/>
        </w:rPr>
        <w:t>提供相应培训证书或获得原厂承诺的至少5名原厂工程师支持</w:t>
      </w:r>
      <w:r>
        <w:rPr>
          <w:rFonts w:ascii="宋体" w:hAnsi="宋体"/>
          <w:szCs w:val="21"/>
        </w:rPr>
        <w:t>)</w:t>
      </w:r>
      <w:r>
        <w:rPr>
          <w:rFonts w:hint="eastAsia" w:ascii="宋体" w:hAnsi="宋体"/>
          <w:szCs w:val="21"/>
        </w:rPr>
        <w:t>。</w:t>
      </w:r>
    </w:p>
    <w:p>
      <w:pPr>
        <w:numPr>
          <w:ilvl w:val="0"/>
          <w:numId w:val="4"/>
        </w:numPr>
        <w:tabs>
          <w:tab w:val="left" w:pos="709"/>
        </w:tabs>
        <w:spacing w:line="360" w:lineRule="auto"/>
        <w:rPr>
          <w:rFonts w:ascii="宋体" w:hAnsi="宋体"/>
          <w:szCs w:val="21"/>
        </w:rPr>
      </w:pPr>
      <w:r>
        <w:rPr>
          <w:rFonts w:hint="eastAsia" w:hAnsi="宋体" w:cs="宋体"/>
          <w:bCs/>
          <w:color w:val="000000"/>
          <w:kern w:val="0"/>
        </w:rPr>
        <w:t>★</w:t>
      </w:r>
      <w:r>
        <w:rPr>
          <w:rFonts w:hint="eastAsia" w:ascii="宋体" w:hAnsi="宋体" w:cs="宋体"/>
          <w:bCs/>
          <w:color w:val="000000"/>
          <w:kern w:val="0"/>
          <w:szCs w:val="21"/>
        </w:rPr>
        <w:t>维修零配件：</w:t>
      </w:r>
      <w:r>
        <w:rPr>
          <w:rFonts w:hint="eastAsia" w:ascii="宋体" w:hAnsi="宋体" w:cs="Arial"/>
          <w:color w:val="000000"/>
          <w:szCs w:val="21"/>
        </w:rPr>
        <w:t>包括用于保养及维修中需更换的备件</w:t>
      </w:r>
      <w:r>
        <w:rPr>
          <w:rFonts w:hint="eastAsia" w:ascii="宋体" w:hAnsi="宋体" w:cs="宋体"/>
          <w:bCs/>
          <w:color w:val="000000"/>
          <w:kern w:val="0"/>
          <w:szCs w:val="21"/>
        </w:rPr>
        <w:t>必须为原厂未开封备件。</w:t>
      </w:r>
    </w:p>
    <w:p>
      <w:pPr>
        <w:numPr>
          <w:ilvl w:val="0"/>
          <w:numId w:val="4"/>
        </w:numPr>
        <w:tabs>
          <w:tab w:val="left" w:pos="709"/>
        </w:tabs>
        <w:spacing w:line="360" w:lineRule="auto"/>
        <w:rPr>
          <w:rFonts w:ascii="宋体" w:hAnsi="宋体"/>
          <w:szCs w:val="21"/>
        </w:rPr>
      </w:pPr>
      <w:r>
        <w:rPr>
          <w:rFonts w:hint="eastAsia" w:ascii="宋体" w:hAnsi="宋体"/>
          <w:szCs w:val="21"/>
        </w:rPr>
        <w:t>▲投标人具备或者承诺给予投标人维修支持的单位具备同品牌同型号设备不少于5台设备全保的维保合同经验（且均处于合同期内，并提供相应合同或中标通知书）。</w:t>
      </w:r>
    </w:p>
    <w:p>
      <w:pPr>
        <w:numPr>
          <w:ilvl w:val="0"/>
          <w:numId w:val="4"/>
        </w:numPr>
        <w:tabs>
          <w:tab w:val="left" w:pos="709"/>
        </w:tabs>
        <w:spacing w:line="360" w:lineRule="auto"/>
        <w:rPr>
          <w:rFonts w:ascii="宋体" w:hAnsi="宋体"/>
          <w:szCs w:val="21"/>
        </w:rPr>
      </w:pPr>
      <w:r>
        <w:rPr>
          <w:rFonts w:hint="eastAsia" w:ascii="宋体" w:hAnsi="宋体"/>
          <w:szCs w:val="21"/>
        </w:rPr>
        <w:t>▲保修方管理认证：维保公司应符合中国质量认证中心的相关标准，如ISO</w:t>
      </w:r>
      <w:r>
        <w:rPr>
          <w:rFonts w:ascii="宋体" w:hAnsi="宋体"/>
          <w:szCs w:val="21"/>
        </w:rPr>
        <w:t xml:space="preserve"> ISO9001</w:t>
      </w:r>
      <w:r>
        <w:rPr>
          <w:rFonts w:hint="eastAsia" w:ascii="宋体" w:hAnsi="宋体"/>
          <w:szCs w:val="21"/>
        </w:rPr>
        <w:t>质量管理体系认证。（提供（提供认证文件复印件）</w:t>
      </w:r>
    </w:p>
    <w:p>
      <w:pPr>
        <w:numPr>
          <w:ilvl w:val="0"/>
          <w:numId w:val="4"/>
        </w:numPr>
        <w:tabs>
          <w:tab w:val="left" w:pos="709"/>
        </w:tabs>
        <w:spacing w:line="360" w:lineRule="auto"/>
        <w:rPr>
          <w:rFonts w:ascii="宋体" w:hAnsi="宋体"/>
          <w:szCs w:val="21"/>
        </w:rPr>
      </w:pPr>
      <w:r>
        <w:rPr>
          <w:rFonts w:hint="eastAsia" w:ascii="宋体" w:hAnsi="宋体"/>
          <w:szCs w:val="21"/>
        </w:rPr>
        <w:t>▲具备辐射安全许可证，保证所从事的维修保养活动符合放射性污染防治法及射线装置安全和防护条例等法律法规的规定（</w:t>
      </w:r>
      <w:bookmarkStart w:id="0" w:name="OLE_LINK2"/>
      <w:bookmarkStart w:id="1" w:name="OLE_LINK1"/>
      <w:r>
        <w:rPr>
          <w:rFonts w:hint="eastAsia" w:ascii="宋体" w:hAnsi="宋体"/>
          <w:szCs w:val="21"/>
        </w:rPr>
        <w:t>提供辐射安全许可证复印件</w:t>
      </w:r>
      <w:bookmarkEnd w:id="0"/>
      <w:bookmarkEnd w:id="1"/>
      <w:r>
        <w:rPr>
          <w:rFonts w:hint="eastAsia" w:ascii="宋体" w:hAnsi="宋体"/>
          <w:szCs w:val="21"/>
        </w:rPr>
        <w:t>）。</w:t>
      </w:r>
    </w:p>
    <w:p>
      <w:pPr>
        <w:pStyle w:val="2"/>
        <w:spacing w:before="0" w:after="0" w:line="360" w:lineRule="auto"/>
        <w:ind w:left="315"/>
        <w:rPr>
          <w:rFonts w:ascii="宋体" w:hAnsi="宋体"/>
          <w:szCs w:val="21"/>
        </w:rPr>
      </w:pPr>
      <w:r>
        <w:rPr>
          <w:rFonts w:hint="eastAsia" w:ascii="宋体" w:hAnsi="宋体" w:eastAsia="宋体"/>
          <w:sz w:val="21"/>
          <w:szCs w:val="21"/>
        </w:rPr>
        <w:t>（四）项</w:t>
      </w:r>
      <w:bookmarkStart w:id="2" w:name="OLE_LINK3"/>
      <w:r>
        <w:rPr>
          <w:rFonts w:hint="eastAsia" w:ascii="宋体" w:hAnsi="宋体" w:eastAsia="宋体"/>
          <w:sz w:val="21"/>
          <w:szCs w:val="21"/>
        </w:rPr>
        <w:t>目</w:t>
      </w:r>
      <w:bookmarkEnd w:id="2"/>
      <w:r>
        <w:rPr>
          <w:rFonts w:hint="eastAsia" w:ascii="宋体" w:hAnsi="宋体" w:eastAsia="宋体"/>
          <w:sz w:val="21"/>
          <w:szCs w:val="21"/>
        </w:rPr>
        <w:t>技术要求</w:t>
      </w:r>
      <w:r>
        <w:rPr>
          <w:rFonts w:ascii="宋体" w:hAnsi="宋体" w:eastAsia="宋体"/>
          <w:sz w:val="21"/>
          <w:szCs w:val="21"/>
        </w:rPr>
        <w:t xml:space="preserve">: </w:t>
      </w:r>
    </w:p>
    <w:p>
      <w:pPr>
        <w:tabs>
          <w:tab w:val="left" w:pos="709"/>
        </w:tabs>
        <w:spacing w:line="360" w:lineRule="auto"/>
        <w:rPr>
          <w:rFonts w:ascii="宋体" w:hAnsi="宋体"/>
          <w:b/>
          <w:sz w:val="24"/>
        </w:rPr>
      </w:pPr>
      <w:r>
        <w:rPr>
          <w:rFonts w:hint="eastAsia" w:ascii="宋体" w:hAnsi="宋体"/>
          <w:b/>
          <w:sz w:val="24"/>
        </w:rPr>
        <w:t>1安全检查：</w:t>
      </w:r>
      <w:r>
        <w:rPr>
          <w:rFonts w:hint="eastAsia" w:ascii="宋体" w:hAnsi="宋体"/>
          <w:b/>
          <w:szCs w:val="21"/>
        </w:rPr>
        <w:t>按照厂家设备标准及当地规定执行。</w:t>
      </w:r>
    </w:p>
    <w:p>
      <w:pPr>
        <w:numPr>
          <w:ilvl w:val="1"/>
          <w:numId w:val="5"/>
        </w:numPr>
        <w:spacing w:line="360" w:lineRule="auto"/>
        <w:rPr>
          <w:rFonts w:ascii="宋体" w:hAnsi="宋体"/>
          <w:szCs w:val="28"/>
        </w:rPr>
      </w:pPr>
      <w:r>
        <w:rPr>
          <w:rFonts w:hint="eastAsia" w:ascii="宋体" w:hAnsi="宋体"/>
          <w:szCs w:val="28"/>
        </w:rPr>
        <w:t>制定检查计划；</w:t>
      </w:r>
    </w:p>
    <w:p>
      <w:pPr>
        <w:numPr>
          <w:ilvl w:val="1"/>
          <w:numId w:val="5"/>
        </w:numPr>
        <w:spacing w:line="360" w:lineRule="auto"/>
        <w:rPr>
          <w:rFonts w:ascii="宋体" w:hAnsi="宋体"/>
          <w:szCs w:val="28"/>
        </w:rPr>
      </w:pPr>
      <w:r>
        <w:rPr>
          <w:rFonts w:hint="eastAsia" w:ascii="宋体" w:hAnsi="宋体"/>
          <w:szCs w:val="28"/>
        </w:rPr>
        <w:t>机械安全检查；</w:t>
      </w:r>
    </w:p>
    <w:p>
      <w:pPr>
        <w:numPr>
          <w:ilvl w:val="1"/>
          <w:numId w:val="5"/>
        </w:numPr>
        <w:spacing w:line="360" w:lineRule="auto"/>
        <w:rPr>
          <w:rFonts w:ascii="宋体" w:hAnsi="宋体"/>
          <w:szCs w:val="28"/>
        </w:rPr>
      </w:pPr>
      <w:r>
        <w:rPr>
          <w:rFonts w:hint="eastAsia" w:ascii="宋体" w:hAnsi="宋体"/>
          <w:szCs w:val="28"/>
        </w:rPr>
        <w:t>电气安全检查；</w:t>
      </w:r>
    </w:p>
    <w:p>
      <w:pPr>
        <w:numPr>
          <w:ilvl w:val="1"/>
          <w:numId w:val="5"/>
        </w:numPr>
        <w:spacing w:line="360" w:lineRule="auto"/>
        <w:rPr>
          <w:rFonts w:ascii="宋体" w:hAnsi="宋体"/>
          <w:szCs w:val="28"/>
        </w:rPr>
      </w:pPr>
      <w:r>
        <w:rPr>
          <w:rFonts w:hint="eastAsia" w:ascii="宋体" w:hAnsi="宋体"/>
          <w:szCs w:val="28"/>
        </w:rPr>
        <w:t>记录检查结果。</w:t>
      </w:r>
    </w:p>
    <w:p>
      <w:pPr>
        <w:numPr>
          <w:ilvl w:val="1"/>
          <w:numId w:val="5"/>
        </w:numPr>
        <w:spacing w:line="360" w:lineRule="auto"/>
        <w:rPr>
          <w:rFonts w:ascii="宋体" w:hAnsi="宋体"/>
          <w:szCs w:val="28"/>
        </w:rPr>
      </w:pPr>
      <w:r>
        <w:rPr>
          <w:rFonts w:hint="eastAsia" w:ascii="宋体" w:hAnsi="宋体"/>
          <w:szCs w:val="28"/>
        </w:rPr>
        <w:t>安全升级必须在原厂规定的升级文件规定时间内完成，并在升级完成后提供原厂升级文件及工作记录。</w:t>
      </w:r>
    </w:p>
    <w:p>
      <w:pPr>
        <w:tabs>
          <w:tab w:val="left" w:pos="709"/>
        </w:tabs>
        <w:spacing w:line="360" w:lineRule="auto"/>
        <w:rPr>
          <w:rFonts w:ascii="宋体" w:hAnsi="宋体"/>
          <w:szCs w:val="21"/>
        </w:rPr>
      </w:pPr>
      <w:r>
        <w:rPr>
          <w:rFonts w:hint="eastAsia" w:ascii="宋体" w:hAnsi="宋体"/>
          <w:b/>
          <w:sz w:val="24"/>
        </w:rPr>
        <w:t>2</w:t>
      </w:r>
      <w:r>
        <w:rPr>
          <w:rFonts w:hint="eastAsia" w:ascii="宋体" w:hAnsi="宋体"/>
          <w:b/>
          <w:szCs w:val="21"/>
        </w:rPr>
        <w:t>预防性保养</w:t>
      </w:r>
      <w:r>
        <w:rPr>
          <w:rFonts w:hint="eastAsia" w:ascii="宋体" w:hAnsi="宋体"/>
          <w:szCs w:val="21"/>
        </w:rPr>
        <w:t>：按照保养计划提供，每年提供两次专业保养，以保证设备处于最佳运行状态。</w:t>
      </w:r>
    </w:p>
    <w:p>
      <w:pPr>
        <w:numPr>
          <w:ilvl w:val="0"/>
          <w:numId w:val="6"/>
        </w:numPr>
        <w:spacing w:line="360" w:lineRule="auto"/>
        <w:rPr>
          <w:rFonts w:ascii="宋体" w:hAnsi="宋体"/>
          <w:szCs w:val="28"/>
        </w:rPr>
      </w:pPr>
      <w:r>
        <w:rPr>
          <w:rFonts w:hint="eastAsia" w:ascii="宋体" w:hAnsi="宋体"/>
          <w:szCs w:val="28"/>
        </w:rPr>
        <w:t>记录并安排保养时间；</w:t>
      </w:r>
    </w:p>
    <w:p>
      <w:pPr>
        <w:numPr>
          <w:ilvl w:val="0"/>
          <w:numId w:val="6"/>
        </w:numPr>
        <w:spacing w:line="360" w:lineRule="auto"/>
        <w:rPr>
          <w:rFonts w:ascii="宋体" w:hAnsi="宋体"/>
          <w:szCs w:val="28"/>
        </w:rPr>
      </w:pPr>
      <w:r>
        <w:rPr>
          <w:rFonts w:hint="eastAsia" w:ascii="宋体" w:hAnsi="宋体"/>
          <w:szCs w:val="28"/>
        </w:rPr>
        <w:t>按照保养计划更换损耗部件；</w:t>
      </w:r>
    </w:p>
    <w:p>
      <w:pPr>
        <w:numPr>
          <w:ilvl w:val="0"/>
          <w:numId w:val="6"/>
        </w:numPr>
        <w:spacing w:line="360" w:lineRule="auto"/>
        <w:rPr>
          <w:rFonts w:ascii="宋体" w:hAnsi="宋体"/>
          <w:szCs w:val="28"/>
        </w:rPr>
      </w:pPr>
      <w:r>
        <w:rPr>
          <w:rFonts w:hint="eastAsia" w:ascii="宋体" w:hAnsi="宋体"/>
          <w:szCs w:val="28"/>
        </w:rPr>
        <w:t>检测；</w:t>
      </w:r>
    </w:p>
    <w:p>
      <w:pPr>
        <w:numPr>
          <w:ilvl w:val="0"/>
          <w:numId w:val="6"/>
        </w:numPr>
        <w:spacing w:line="360" w:lineRule="auto"/>
        <w:rPr>
          <w:rFonts w:ascii="宋体" w:hAnsi="宋体"/>
          <w:szCs w:val="28"/>
        </w:rPr>
      </w:pPr>
      <w:r>
        <w:rPr>
          <w:rFonts w:hint="eastAsia" w:ascii="宋体" w:hAnsi="宋体"/>
          <w:szCs w:val="28"/>
        </w:rPr>
        <w:t>按照厂家标准进行调校；</w:t>
      </w:r>
    </w:p>
    <w:p>
      <w:pPr>
        <w:numPr>
          <w:ilvl w:val="0"/>
          <w:numId w:val="6"/>
        </w:numPr>
        <w:spacing w:line="360" w:lineRule="auto"/>
        <w:rPr>
          <w:rFonts w:ascii="宋体" w:hAnsi="宋体"/>
          <w:szCs w:val="28"/>
        </w:rPr>
      </w:pPr>
      <w:r>
        <w:rPr>
          <w:rFonts w:hint="eastAsia" w:ascii="宋体" w:hAnsi="宋体"/>
          <w:szCs w:val="28"/>
        </w:rPr>
        <w:t>确认各项技术指标及性能；</w:t>
      </w:r>
    </w:p>
    <w:p>
      <w:pPr>
        <w:numPr>
          <w:ilvl w:val="0"/>
          <w:numId w:val="6"/>
        </w:numPr>
        <w:spacing w:line="360" w:lineRule="auto"/>
        <w:rPr>
          <w:rFonts w:ascii="宋体" w:hAnsi="宋体"/>
          <w:szCs w:val="28"/>
        </w:rPr>
      </w:pPr>
      <w:r>
        <w:rPr>
          <w:rFonts w:hint="eastAsia" w:ascii="宋体" w:hAnsi="宋体"/>
          <w:szCs w:val="28"/>
        </w:rPr>
        <w:t>记录设备状况；</w:t>
      </w:r>
    </w:p>
    <w:p>
      <w:pPr>
        <w:numPr>
          <w:ilvl w:val="0"/>
          <w:numId w:val="6"/>
        </w:numPr>
        <w:spacing w:line="360" w:lineRule="auto"/>
        <w:rPr>
          <w:rFonts w:ascii="宋体" w:hAnsi="宋体"/>
          <w:szCs w:val="28"/>
        </w:rPr>
      </w:pPr>
      <w:r>
        <w:rPr>
          <w:rFonts w:hint="eastAsia" w:ascii="宋体" w:hAnsi="宋体"/>
          <w:szCs w:val="28"/>
        </w:rPr>
        <w:t>提供设备原厂保养内容清单。</w:t>
      </w:r>
    </w:p>
    <w:p>
      <w:pPr>
        <w:tabs>
          <w:tab w:val="left" w:pos="709"/>
        </w:tabs>
        <w:spacing w:line="360" w:lineRule="auto"/>
        <w:rPr>
          <w:rFonts w:ascii="宋体" w:hAnsi="宋体"/>
          <w:szCs w:val="21"/>
        </w:rPr>
      </w:pPr>
      <w:r>
        <w:rPr>
          <w:rFonts w:hint="eastAsia" w:ascii="宋体" w:hAnsi="宋体"/>
          <w:b/>
          <w:sz w:val="24"/>
        </w:rPr>
        <w:t>3</w:t>
      </w:r>
      <w:r>
        <w:rPr>
          <w:rFonts w:hint="eastAsia" w:ascii="宋体" w:hAnsi="宋体"/>
          <w:b/>
          <w:szCs w:val="21"/>
        </w:rPr>
        <w:t>预防性保养损耗品</w:t>
      </w:r>
    </w:p>
    <w:p>
      <w:pPr>
        <w:spacing w:line="360" w:lineRule="auto"/>
        <w:ind w:left="283" w:leftChars="135" w:firstLine="105" w:firstLineChars="50"/>
        <w:rPr>
          <w:rFonts w:ascii="宋体" w:hAnsi="宋体"/>
          <w:szCs w:val="28"/>
        </w:rPr>
      </w:pPr>
      <w:r>
        <w:rPr>
          <w:rFonts w:hint="eastAsia" w:ascii="宋体" w:hAnsi="宋体"/>
          <w:szCs w:val="28"/>
        </w:rPr>
        <w:t>预防性保养中需更换的损耗品由服务商免费提供。</w:t>
      </w:r>
    </w:p>
    <w:p>
      <w:pPr>
        <w:tabs>
          <w:tab w:val="left" w:pos="709"/>
        </w:tabs>
        <w:spacing w:line="360" w:lineRule="auto"/>
        <w:rPr>
          <w:rFonts w:ascii="宋体" w:hAnsi="宋体"/>
          <w:b/>
          <w:szCs w:val="21"/>
        </w:rPr>
      </w:pPr>
      <w:r>
        <w:rPr>
          <w:rFonts w:hint="eastAsia" w:ascii="宋体" w:hAnsi="宋体"/>
          <w:b/>
          <w:sz w:val="24"/>
        </w:rPr>
        <w:t>4</w:t>
      </w:r>
      <w:r>
        <w:rPr>
          <w:rFonts w:hint="eastAsia" w:ascii="宋体" w:hAnsi="宋体"/>
          <w:b/>
          <w:szCs w:val="21"/>
        </w:rPr>
        <w:t>开机率</w:t>
      </w:r>
    </w:p>
    <w:p>
      <w:pPr>
        <w:spacing w:line="360" w:lineRule="auto"/>
        <w:ind w:firstLine="420" w:firstLineChars="200"/>
        <w:rPr>
          <w:rFonts w:ascii="宋体" w:hAnsi="宋体"/>
          <w:szCs w:val="28"/>
        </w:rPr>
      </w:pPr>
      <w:r>
        <w:rPr>
          <w:rFonts w:hint="eastAsia" w:ascii="宋体" w:hAnsi="宋体"/>
          <w:szCs w:val="28"/>
        </w:rPr>
        <w:t>在合同期内保证95%的开机率，（停机时间少于5%）按一年365日计算。如果此开机率由于中标供应商的原因未能达到，对于开机率低于95%的每一个百分点,合同期限将相应延长3个日历日。</w:t>
      </w:r>
    </w:p>
    <w:p>
      <w:pPr>
        <w:spacing w:line="360" w:lineRule="auto"/>
        <w:rPr>
          <w:b/>
          <w:sz w:val="24"/>
        </w:rPr>
      </w:pPr>
      <w:r>
        <w:rPr>
          <w:rFonts w:hint="eastAsia"/>
          <w:b/>
          <w:sz w:val="24"/>
        </w:rPr>
        <w:t>5 热线服务：</w:t>
      </w:r>
    </w:p>
    <w:p>
      <w:pPr>
        <w:widowControl/>
        <w:spacing w:line="360" w:lineRule="auto"/>
        <w:jc w:val="left"/>
        <w:rPr>
          <w:rFonts w:ascii="宋体"/>
          <w:color w:val="000000"/>
          <w:sz w:val="24"/>
        </w:rPr>
      </w:pPr>
      <w:r>
        <w:rPr>
          <w:rFonts w:hint="eastAsia" w:ascii="宋体"/>
          <w:color w:val="000000"/>
          <w:sz w:val="24"/>
        </w:rPr>
        <w:t xml:space="preserve">  全国范围内开通400免费热线电话，24小时×365天有工程师接听，为用户快速诊断和技术支持服务。</w:t>
      </w:r>
    </w:p>
    <w:p>
      <w:pPr>
        <w:tabs>
          <w:tab w:val="left" w:pos="709"/>
        </w:tabs>
        <w:spacing w:line="360" w:lineRule="auto"/>
        <w:rPr>
          <w:rFonts w:ascii="宋体" w:hAnsi="宋体"/>
          <w:b/>
          <w:szCs w:val="28"/>
        </w:rPr>
      </w:pPr>
      <w:r>
        <w:rPr>
          <w:rFonts w:hint="eastAsia" w:ascii="宋体" w:hAnsi="宋体"/>
          <w:b/>
          <w:sz w:val="24"/>
        </w:rPr>
        <w:t>6</w:t>
      </w:r>
      <w:r>
        <w:rPr>
          <w:rFonts w:hint="eastAsia" w:ascii="宋体" w:hAnsi="宋体"/>
          <w:b/>
          <w:szCs w:val="28"/>
        </w:rPr>
        <w:t>工时</w:t>
      </w:r>
    </w:p>
    <w:p>
      <w:pPr>
        <w:spacing w:line="360" w:lineRule="auto"/>
        <w:ind w:firstLine="420" w:firstLineChars="200"/>
        <w:rPr>
          <w:rFonts w:ascii="宋体" w:hAnsi="宋体"/>
          <w:szCs w:val="28"/>
        </w:rPr>
      </w:pPr>
      <w:r>
        <w:rPr>
          <w:rFonts w:hint="eastAsia" w:ascii="宋体" w:hAnsi="宋体"/>
          <w:szCs w:val="28"/>
        </w:rPr>
        <w:t>包含在保修合同期内所需的人工费用，签订保修合同的客户享受优先派工，节假日加班免费。</w:t>
      </w:r>
    </w:p>
    <w:p>
      <w:pPr>
        <w:tabs>
          <w:tab w:val="left" w:pos="709"/>
        </w:tabs>
        <w:spacing w:line="360" w:lineRule="auto"/>
        <w:rPr>
          <w:rFonts w:ascii="宋体" w:hAnsi="宋体"/>
          <w:b/>
          <w:szCs w:val="28"/>
        </w:rPr>
      </w:pPr>
      <w:r>
        <w:rPr>
          <w:rFonts w:hint="eastAsia" w:ascii="宋体" w:hAnsi="宋体"/>
          <w:b/>
          <w:sz w:val="24"/>
        </w:rPr>
        <w:t>7</w:t>
      </w:r>
      <w:r>
        <w:rPr>
          <w:rFonts w:hint="eastAsia" w:ascii="宋体" w:hAnsi="宋体"/>
          <w:b/>
          <w:szCs w:val="28"/>
        </w:rPr>
        <w:t>备件</w:t>
      </w:r>
    </w:p>
    <w:p>
      <w:pPr>
        <w:spacing w:line="360" w:lineRule="auto"/>
        <w:ind w:left="315"/>
        <w:rPr>
          <w:rFonts w:ascii="宋体" w:hAnsi="宋体"/>
          <w:szCs w:val="28"/>
        </w:rPr>
      </w:pPr>
      <w:r>
        <w:rPr>
          <w:rFonts w:hint="eastAsia" w:ascii="宋体" w:hAnsi="宋体"/>
          <w:szCs w:val="28"/>
        </w:rPr>
        <w:t>1．提供保修所需的备件</w:t>
      </w:r>
      <w:r>
        <w:rPr>
          <w:rFonts w:hint="eastAsia" w:ascii="宋体" w:hAnsi="宋体"/>
          <w:szCs w:val="21"/>
        </w:rPr>
        <w:t>（含球管、平板探测器、高压油箱，</w:t>
      </w:r>
      <w:r>
        <w:rPr>
          <w:rFonts w:hint="eastAsia" w:ascii="宋体" w:hAnsi="宋体"/>
          <w:szCs w:val="28"/>
        </w:rPr>
        <w:t>消耗品、附件及其他第三方的产品除外</w:t>
      </w:r>
      <w:r>
        <w:rPr>
          <w:rFonts w:hint="eastAsia" w:ascii="宋体"/>
          <w:color w:val="000000"/>
          <w:sz w:val="24"/>
        </w:rPr>
        <w:t>）</w:t>
      </w:r>
      <w:r>
        <w:rPr>
          <w:rFonts w:hint="eastAsia" w:ascii="宋体" w:hAnsi="宋体"/>
          <w:szCs w:val="28"/>
        </w:rPr>
        <w:t>，备件供应要及时、充足。</w:t>
      </w:r>
    </w:p>
    <w:p>
      <w:pPr>
        <w:spacing w:line="360" w:lineRule="auto"/>
        <w:ind w:left="315"/>
        <w:rPr>
          <w:rFonts w:ascii="宋体" w:hAnsi="宋体"/>
          <w:szCs w:val="28"/>
        </w:rPr>
      </w:pPr>
      <w:r>
        <w:rPr>
          <w:rFonts w:hint="eastAsia" w:ascii="宋体" w:hAnsi="宋体"/>
          <w:szCs w:val="28"/>
        </w:rPr>
        <w:t>2．</w:t>
      </w:r>
      <w:r>
        <w:rPr>
          <w:rFonts w:hint="eastAsia" w:hAnsi="宋体" w:cs="宋体"/>
          <w:bCs/>
          <w:color w:val="000000"/>
          <w:kern w:val="0"/>
        </w:rPr>
        <w:t>★</w:t>
      </w:r>
      <w:r>
        <w:rPr>
          <w:rFonts w:hint="eastAsia" w:ascii="宋体" w:hAnsi="宋体"/>
          <w:szCs w:val="28"/>
        </w:rPr>
        <w:t>备件必须是原厂提供的未拆封备件</w:t>
      </w:r>
      <w:r>
        <w:rPr>
          <w:rFonts w:hint="eastAsia" w:ascii="宋体" w:hAnsi="宋体"/>
          <w:szCs w:val="21"/>
        </w:rPr>
        <w:t>。</w:t>
      </w:r>
    </w:p>
    <w:p>
      <w:pPr>
        <w:spacing w:line="360" w:lineRule="auto"/>
        <w:ind w:left="315"/>
        <w:rPr>
          <w:rFonts w:ascii="宋体" w:hAnsi="宋体"/>
          <w:szCs w:val="28"/>
        </w:rPr>
      </w:pPr>
      <w:r>
        <w:rPr>
          <w:rFonts w:hint="eastAsia" w:ascii="宋体" w:hAnsi="宋体"/>
          <w:szCs w:val="28"/>
        </w:rPr>
        <w:t>3．优先为合同客户运送零配件。</w:t>
      </w:r>
    </w:p>
    <w:p>
      <w:pPr>
        <w:spacing w:line="360" w:lineRule="auto"/>
        <w:ind w:left="315"/>
        <w:rPr>
          <w:rFonts w:ascii="宋体" w:hAnsi="宋体"/>
          <w:szCs w:val="28"/>
        </w:rPr>
      </w:pPr>
      <w:r>
        <w:rPr>
          <w:rFonts w:hint="eastAsia" w:ascii="宋体" w:hAnsi="宋体"/>
          <w:szCs w:val="28"/>
        </w:rPr>
        <w:t>4．回收报废部件。</w:t>
      </w:r>
    </w:p>
    <w:p>
      <w:pPr>
        <w:spacing w:line="360" w:lineRule="auto"/>
        <w:rPr>
          <w:rFonts w:ascii="宋体" w:hAnsi="宋体"/>
          <w:szCs w:val="28"/>
        </w:rPr>
      </w:pPr>
      <w:r>
        <w:rPr>
          <w:rFonts w:hint="eastAsia" w:ascii="宋体" w:hAnsi="宋体"/>
          <w:szCs w:val="28"/>
        </w:rPr>
        <w:t xml:space="preserve">   5．如提供的其它非原厂产品及服务必须符合国家法律法规，从有资质的服务厂家授权的</w:t>
      </w:r>
    </w:p>
    <w:p>
      <w:pPr>
        <w:spacing w:line="360" w:lineRule="auto"/>
        <w:rPr>
          <w:rFonts w:ascii="宋体" w:hAnsi="宋体"/>
          <w:szCs w:val="28"/>
        </w:rPr>
      </w:pPr>
      <w:r>
        <w:rPr>
          <w:rFonts w:hint="eastAsia" w:ascii="宋体" w:hAnsi="宋体"/>
          <w:szCs w:val="28"/>
        </w:rPr>
        <w:t xml:space="preserve">      正规渠道获得</w:t>
      </w:r>
      <w:r>
        <w:rPr>
          <w:rFonts w:ascii="宋体" w:hAnsi="宋体"/>
          <w:szCs w:val="28"/>
        </w:rPr>
        <w:t>。</w:t>
      </w:r>
    </w:p>
    <w:p>
      <w:pPr>
        <w:tabs>
          <w:tab w:val="left" w:pos="709"/>
        </w:tabs>
        <w:spacing w:line="360" w:lineRule="auto"/>
        <w:rPr>
          <w:rFonts w:ascii="宋体" w:hAnsi="宋体"/>
          <w:b/>
          <w:szCs w:val="28"/>
        </w:rPr>
      </w:pPr>
      <w:r>
        <w:rPr>
          <w:rFonts w:ascii="宋体" w:hAnsi="宋体"/>
          <w:b/>
          <w:sz w:val="24"/>
        </w:rPr>
        <w:t>8</w:t>
      </w:r>
      <w:r>
        <w:rPr>
          <w:rFonts w:hint="eastAsia" w:ascii="宋体" w:hAnsi="宋体"/>
          <w:b/>
          <w:szCs w:val="28"/>
        </w:rPr>
        <w:t>远程连接</w:t>
      </w:r>
    </w:p>
    <w:p>
      <w:pPr>
        <w:spacing w:line="360" w:lineRule="auto"/>
        <w:rPr>
          <w:rFonts w:ascii="宋体" w:hAnsi="宋体"/>
          <w:szCs w:val="28"/>
        </w:rPr>
      </w:pPr>
      <w:r>
        <w:rPr>
          <w:rFonts w:hint="eastAsia" w:ascii="宋体" w:hAnsi="宋体"/>
          <w:szCs w:val="28"/>
        </w:rPr>
        <w:t xml:space="preserve">      提供基于设备嵌入式远程连接方案的实时远程服务，以保证维修的及时性。</w:t>
      </w:r>
    </w:p>
    <w:p>
      <w:pPr>
        <w:tabs>
          <w:tab w:val="left" w:pos="709"/>
        </w:tabs>
        <w:spacing w:line="360" w:lineRule="auto"/>
        <w:rPr>
          <w:rFonts w:ascii="宋体" w:hAnsi="宋体"/>
          <w:b/>
          <w:szCs w:val="28"/>
        </w:rPr>
      </w:pPr>
      <w:r>
        <w:rPr>
          <w:rFonts w:ascii="宋体" w:hAnsi="宋体"/>
          <w:b/>
          <w:sz w:val="24"/>
        </w:rPr>
        <w:t>9</w:t>
      </w:r>
      <w:r>
        <w:rPr>
          <w:rFonts w:hint="eastAsia" w:ascii="宋体" w:hAnsi="宋体"/>
          <w:b/>
          <w:szCs w:val="28"/>
        </w:rPr>
        <w:t>高级诊断</w:t>
      </w:r>
    </w:p>
    <w:p>
      <w:pPr>
        <w:spacing w:line="360" w:lineRule="auto"/>
        <w:ind w:firstLine="420" w:firstLineChars="200"/>
        <w:rPr>
          <w:rFonts w:ascii="宋体" w:hAnsi="宋体"/>
          <w:szCs w:val="28"/>
        </w:rPr>
      </w:pPr>
      <w:r>
        <w:rPr>
          <w:rFonts w:hint="eastAsia" w:ascii="宋体" w:hAnsi="宋体"/>
          <w:szCs w:val="28"/>
        </w:rPr>
        <w:t xml:space="preserve">  投标人必须在整个合同期内都能合法获得原厂高级故障诊断软件的诊断维修钥匙（service key）</w:t>
      </w:r>
      <w:r>
        <w:rPr>
          <w:rFonts w:ascii="宋体" w:hAnsi="宋体"/>
          <w:szCs w:val="28"/>
        </w:rPr>
        <w:t>,</w:t>
      </w:r>
      <w:r>
        <w:rPr>
          <w:rFonts w:hint="eastAsia" w:ascii="宋体" w:hAnsi="宋体"/>
          <w:szCs w:val="28"/>
        </w:rPr>
        <w:t>并保证不违反国家有关知识产权的法律规定，并做出相应书面承诺。</w:t>
      </w:r>
    </w:p>
    <w:p>
      <w:pPr>
        <w:spacing w:line="360" w:lineRule="auto"/>
        <w:rPr>
          <w:b/>
          <w:sz w:val="24"/>
        </w:rPr>
      </w:pPr>
      <w:r>
        <w:rPr>
          <w:rFonts w:hint="eastAsia" w:ascii="宋体" w:hAnsi="宋体"/>
          <w:b/>
          <w:sz w:val="24"/>
        </w:rPr>
        <w:t>10</w:t>
      </w:r>
      <w:r>
        <w:rPr>
          <w:rFonts w:hint="eastAsia"/>
          <w:b/>
          <w:sz w:val="24"/>
        </w:rPr>
        <w:t>升级</w:t>
      </w:r>
    </w:p>
    <w:p>
      <w:pPr>
        <w:spacing w:line="360" w:lineRule="auto"/>
        <w:ind w:firstLine="360" w:firstLineChars="150"/>
        <w:rPr>
          <w:rFonts w:ascii="宋体"/>
          <w:color w:val="000000"/>
          <w:sz w:val="24"/>
        </w:rPr>
      </w:pPr>
      <w:r>
        <w:rPr>
          <w:rFonts w:hint="eastAsia" w:ascii="宋体"/>
          <w:color w:val="000000"/>
          <w:sz w:val="24"/>
        </w:rPr>
        <w:t>安全升级必须在原厂规定的升级文件规定时间内完成，并在升级完成后提供原厂升级文件及工作记录。</w:t>
      </w:r>
    </w:p>
    <w:p>
      <w:pPr>
        <w:spacing w:line="360" w:lineRule="auto"/>
        <w:rPr>
          <w:b/>
          <w:sz w:val="24"/>
        </w:rPr>
      </w:pPr>
      <w:r>
        <w:rPr>
          <w:rFonts w:hint="eastAsia"/>
          <w:b/>
          <w:sz w:val="24"/>
        </w:rPr>
        <w:t>11</w:t>
      </w:r>
      <w:r>
        <w:rPr>
          <w:b/>
          <w:sz w:val="24"/>
        </w:rPr>
        <w:t xml:space="preserve"> </w:t>
      </w:r>
      <w:r>
        <w:rPr>
          <w:rFonts w:hint="eastAsia"/>
          <w:b/>
          <w:sz w:val="24"/>
        </w:rPr>
        <w:t>培训</w:t>
      </w:r>
    </w:p>
    <w:p>
      <w:pPr>
        <w:spacing w:line="360" w:lineRule="auto"/>
        <w:ind w:firstLine="360" w:firstLineChars="150"/>
        <w:rPr>
          <w:rFonts w:ascii="宋体"/>
          <w:color w:val="000000"/>
          <w:sz w:val="24"/>
        </w:rPr>
      </w:pPr>
      <w:r>
        <w:rPr>
          <w:rFonts w:hint="eastAsia" w:ascii="宋体"/>
          <w:color w:val="000000"/>
          <w:sz w:val="24"/>
        </w:rPr>
        <w:t xml:space="preserve"> </w:t>
      </w:r>
      <w:r>
        <w:rPr>
          <w:rFonts w:ascii="宋体"/>
          <w:color w:val="000000"/>
          <w:sz w:val="24"/>
        </w:rPr>
        <w:t xml:space="preserve">  </w:t>
      </w:r>
      <w:r>
        <w:rPr>
          <w:rFonts w:hint="eastAsia" w:ascii="宋体"/>
          <w:color w:val="000000"/>
          <w:sz w:val="24"/>
        </w:rPr>
        <w:t>培训服务:在合同期内为用户提供厂家</w:t>
      </w:r>
      <w:r>
        <w:rPr>
          <w:rFonts w:ascii="宋体"/>
          <w:color w:val="000000"/>
          <w:sz w:val="24"/>
        </w:rPr>
        <w:t>CT</w:t>
      </w:r>
      <w:r>
        <w:rPr>
          <w:rFonts w:hint="eastAsia" w:ascii="宋体"/>
          <w:color w:val="000000"/>
          <w:sz w:val="24"/>
        </w:rPr>
        <w:t>应用或维护管理方面的培训。</w:t>
      </w:r>
    </w:p>
    <w:p/>
    <w:p>
      <w:pPr>
        <w:widowControl/>
        <w:spacing w:after="200" w:line="276" w:lineRule="auto"/>
        <w:jc w:val="left"/>
      </w:pPr>
    </w:p>
    <w:sectPr>
      <w:headerReference r:id="rId7" w:type="first"/>
      <w:footerReference r:id="rId10" w:type="first"/>
      <w:headerReference r:id="rId5" w:type="default"/>
      <w:footerReference r:id="rId8" w:type="default"/>
      <w:headerReference r:id="rId6" w:type="even"/>
      <w:footerReference r:id="rId9" w:type="even"/>
      <w:pgSz w:w="12240" w:h="15840"/>
      <w:pgMar w:top="1440" w:right="1800" w:bottom="1440"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Consolas">
    <w:panose1 w:val="020B0609020204030204"/>
    <w:charset w:val="00"/>
    <w:family w:val="modern"/>
    <w:pitch w:val="default"/>
    <w:sig w:usb0="E10002FF" w:usb1="4000FCFF" w:usb2="00000009" w:usb3="00000000" w:csb0="6000019F" w:csb1="DFD7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6C7C35"/>
    <w:multiLevelType w:val="multilevel"/>
    <w:tmpl w:val="076C7C35"/>
    <w:lvl w:ilvl="0" w:tentative="0">
      <w:start w:val="1"/>
      <w:numFmt w:val="decimal"/>
      <w:pStyle w:val="17"/>
      <w:lvlText w:val="%1）"/>
      <w:lvlJc w:val="left"/>
      <w:pPr>
        <w:tabs>
          <w:tab w:val="left" w:pos="780"/>
        </w:tabs>
        <w:ind w:left="780" w:hanging="360"/>
      </w:pPr>
      <w:rPr>
        <w:rFonts w:hint="default"/>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1">
    <w:nsid w:val="11E946A9"/>
    <w:multiLevelType w:val="multilevel"/>
    <w:tmpl w:val="11E946A9"/>
    <w:lvl w:ilvl="0" w:tentative="0">
      <w:start w:val="1"/>
      <w:numFmt w:val="decimal"/>
      <w:lvlText w:val="%1."/>
      <w:lvlJc w:val="left"/>
      <w:pPr>
        <w:tabs>
          <w:tab w:val="left" w:pos="315"/>
        </w:tabs>
        <w:ind w:left="680" w:hanging="365"/>
      </w:pPr>
      <w:rPr>
        <w:rFonts w:hint="eastAsia" w:ascii="宋体" w:hAnsi="宋体" w:eastAsia="宋体" w:cs="Times New Roman"/>
        <w:b w:val="0"/>
      </w:rPr>
    </w:lvl>
    <w:lvl w:ilvl="1" w:tentative="0">
      <w:start w:val="1"/>
      <w:numFmt w:val="decimal"/>
      <w:lvlText w:val="（%2）"/>
      <w:lvlJc w:val="left"/>
      <w:pPr>
        <w:tabs>
          <w:tab w:val="left" w:pos="284"/>
        </w:tabs>
        <w:ind w:left="851" w:hanging="567"/>
      </w:pPr>
      <w:rPr>
        <w:rFonts w:hint="default"/>
        <w:b w:val="0"/>
        <w:i w:val="0"/>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1BF94D90"/>
    <w:multiLevelType w:val="multilevel"/>
    <w:tmpl w:val="1BF94D90"/>
    <w:lvl w:ilvl="0" w:tentative="0">
      <w:start w:val="1"/>
      <w:numFmt w:val="japaneseCounting"/>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37AE5C78"/>
    <w:multiLevelType w:val="multilevel"/>
    <w:tmpl w:val="37AE5C78"/>
    <w:lvl w:ilvl="0" w:tentative="0">
      <w:start w:val="1"/>
      <w:numFmt w:val="decimal"/>
      <w:lvlText w:val="（%1）"/>
      <w:lvlJc w:val="left"/>
      <w:pPr>
        <w:tabs>
          <w:tab w:val="left" w:pos="284"/>
        </w:tabs>
        <w:ind w:left="851" w:hanging="567"/>
      </w:pPr>
      <w:rPr>
        <w:rFonts w:hint="default"/>
        <w:b w:val="0"/>
        <w:i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516003D4"/>
    <w:multiLevelType w:val="multilevel"/>
    <w:tmpl w:val="516003D4"/>
    <w:lvl w:ilvl="0" w:tentative="0">
      <w:start w:val="1"/>
      <w:numFmt w:val="japaneseCounting"/>
      <w:lvlText w:val="%1、"/>
      <w:lvlJc w:val="left"/>
      <w:pPr>
        <w:tabs>
          <w:tab w:val="left" w:pos="420"/>
        </w:tabs>
        <w:ind w:left="420" w:hanging="420"/>
      </w:pPr>
      <w:rPr>
        <w:rFonts w:hint="default"/>
        <w:b/>
      </w:rPr>
    </w:lvl>
    <w:lvl w:ilvl="1" w:tentative="0">
      <w:start w:val="1"/>
      <w:numFmt w:val="decimal"/>
      <w:lvlText w:val="%2."/>
      <w:lvlJc w:val="left"/>
      <w:pPr>
        <w:tabs>
          <w:tab w:val="left" w:pos="315"/>
        </w:tabs>
        <w:ind w:left="680" w:hanging="365"/>
      </w:pPr>
      <w:rPr>
        <w:rFonts w:hint="eastAsia" w:ascii="宋体" w:hAnsi="宋体" w:eastAsia="宋体" w:cs="Times New Roman"/>
        <w:b w:val="0"/>
      </w:rPr>
    </w:lvl>
    <w:lvl w:ilvl="2" w:tentative="0">
      <w:start w:val="1"/>
      <w:numFmt w:val="decimal"/>
      <w:lvlText w:val="（%3）"/>
      <w:lvlJc w:val="left"/>
      <w:pPr>
        <w:tabs>
          <w:tab w:val="left" w:pos="943"/>
        </w:tabs>
        <w:ind w:left="1363" w:hanging="420"/>
      </w:pPr>
      <w:rPr>
        <w:rFonts w:hint="eastAsia"/>
        <w:b w:val="0"/>
      </w:rPr>
    </w:lvl>
    <w:lvl w:ilvl="3" w:tentative="0">
      <w:start w:val="1"/>
      <w:numFmt w:val="upperLetter"/>
      <w:lvlText w:val="%4、"/>
      <w:lvlJc w:val="left"/>
      <w:pPr>
        <w:ind w:left="1723" w:hanging="360"/>
      </w:pPr>
      <w:rPr>
        <w:rFonts w:hint="default"/>
      </w:rPr>
    </w:lvl>
    <w:lvl w:ilvl="4" w:tentative="0">
      <w:start w:val="1"/>
      <w:numFmt w:val="lowerLetter"/>
      <w:lvlText w:val="%5)"/>
      <w:lvlJc w:val="left"/>
      <w:pPr>
        <w:tabs>
          <w:tab w:val="left" w:pos="2203"/>
        </w:tabs>
        <w:ind w:left="2203" w:hanging="420"/>
      </w:pPr>
    </w:lvl>
    <w:lvl w:ilvl="5" w:tentative="0">
      <w:start w:val="1"/>
      <w:numFmt w:val="lowerRoman"/>
      <w:lvlText w:val="%6."/>
      <w:lvlJc w:val="right"/>
      <w:pPr>
        <w:tabs>
          <w:tab w:val="left" w:pos="2623"/>
        </w:tabs>
        <w:ind w:left="2623" w:hanging="420"/>
      </w:pPr>
    </w:lvl>
    <w:lvl w:ilvl="6" w:tentative="0">
      <w:start w:val="1"/>
      <w:numFmt w:val="decimal"/>
      <w:lvlText w:val="%7."/>
      <w:lvlJc w:val="left"/>
      <w:pPr>
        <w:tabs>
          <w:tab w:val="left" w:pos="3043"/>
        </w:tabs>
        <w:ind w:left="3043" w:hanging="420"/>
      </w:pPr>
    </w:lvl>
    <w:lvl w:ilvl="7" w:tentative="0">
      <w:start w:val="1"/>
      <w:numFmt w:val="lowerLetter"/>
      <w:lvlText w:val="%8)"/>
      <w:lvlJc w:val="left"/>
      <w:pPr>
        <w:tabs>
          <w:tab w:val="left" w:pos="3463"/>
        </w:tabs>
        <w:ind w:left="3463" w:hanging="420"/>
      </w:pPr>
    </w:lvl>
    <w:lvl w:ilvl="8" w:tentative="0">
      <w:start w:val="1"/>
      <w:numFmt w:val="lowerRoman"/>
      <w:lvlText w:val="%9."/>
      <w:lvlJc w:val="right"/>
      <w:pPr>
        <w:tabs>
          <w:tab w:val="left" w:pos="3883"/>
        </w:tabs>
        <w:ind w:left="3883" w:hanging="420"/>
      </w:pPr>
    </w:lvl>
  </w:abstractNum>
  <w:abstractNum w:abstractNumId="5">
    <w:nsid w:val="785D60B4"/>
    <w:multiLevelType w:val="multilevel"/>
    <w:tmpl w:val="785D60B4"/>
    <w:lvl w:ilvl="0" w:tentative="0">
      <w:start w:val="1"/>
      <w:numFmt w:val="decimal"/>
      <w:lvlText w:val="%1."/>
      <w:lvlJc w:val="left"/>
      <w:pPr>
        <w:tabs>
          <w:tab w:val="left" w:pos="315"/>
        </w:tabs>
        <w:ind w:left="680" w:hanging="365"/>
      </w:pPr>
      <w:rPr>
        <w:rFonts w:hint="eastAsia" w:ascii="宋体" w:hAnsi="宋体" w:eastAsia="宋体" w:cs="Times New Roman"/>
        <w:b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2"/>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2"/>
  </w:compat>
  <w:docVars>
    <w:docVar w:name="commondata" w:val="eyJoZGlkIjoiOThjNmJjMTM4OWZiZTMyNGIwNWM4N2UwZDY0OWY4NTQifQ=="/>
  </w:docVars>
  <w:rsids>
    <w:rsidRoot w:val="00F06BF1"/>
    <w:rsid w:val="000C3D46"/>
    <w:rsid w:val="000D0EDC"/>
    <w:rsid w:val="00111BE7"/>
    <w:rsid w:val="00140FC9"/>
    <w:rsid w:val="00170070"/>
    <w:rsid w:val="001841F3"/>
    <w:rsid w:val="001D3015"/>
    <w:rsid w:val="00241AC1"/>
    <w:rsid w:val="0028214F"/>
    <w:rsid w:val="002932EB"/>
    <w:rsid w:val="002D770F"/>
    <w:rsid w:val="00330086"/>
    <w:rsid w:val="00450207"/>
    <w:rsid w:val="00486A80"/>
    <w:rsid w:val="00496DDF"/>
    <w:rsid w:val="004C30A5"/>
    <w:rsid w:val="004E7922"/>
    <w:rsid w:val="004F5288"/>
    <w:rsid w:val="005375F2"/>
    <w:rsid w:val="005614EF"/>
    <w:rsid w:val="0058063B"/>
    <w:rsid w:val="006544AE"/>
    <w:rsid w:val="006655DF"/>
    <w:rsid w:val="00731895"/>
    <w:rsid w:val="007948CA"/>
    <w:rsid w:val="00825BBF"/>
    <w:rsid w:val="0088100E"/>
    <w:rsid w:val="00903AB3"/>
    <w:rsid w:val="00906C8D"/>
    <w:rsid w:val="00992377"/>
    <w:rsid w:val="00A229E6"/>
    <w:rsid w:val="00A71977"/>
    <w:rsid w:val="00AE1C15"/>
    <w:rsid w:val="00B27627"/>
    <w:rsid w:val="00B300F0"/>
    <w:rsid w:val="00B95D2D"/>
    <w:rsid w:val="00BB7EC6"/>
    <w:rsid w:val="00BC7B18"/>
    <w:rsid w:val="00C3712D"/>
    <w:rsid w:val="00C73D99"/>
    <w:rsid w:val="00CD7A40"/>
    <w:rsid w:val="00D21547"/>
    <w:rsid w:val="00D517D7"/>
    <w:rsid w:val="00D56570"/>
    <w:rsid w:val="00DA7DF3"/>
    <w:rsid w:val="00DC2834"/>
    <w:rsid w:val="00E02C2B"/>
    <w:rsid w:val="00E83804"/>
    <w:rsid w:val="00EB4580"/>
    <w:rsid w:val="00F06BF1"/>
    <w:rsid w:val="00F5281D"/>
    <w:rsid w:val="0DF356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0" w:line="240" w:lineRule="auto"/>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11"/>
    <w:qFormat/>
    <w:uiPriority w:val="0"/>
    <w:pPr>
      <w:keepNext/>
      <w:keepLines/>
      <w:spacing w:before="260" w:after="260" w:line="416" w:lineRule="auto"/>
      <w:outlineLvl w:val="1"/>
    </w:pPr>
    <w:rPr>
      <w:rFonts w:ascii="Arial" w:hAnsi="Arial" w:eastAsia="黑体"/>
      <w:b/>
      <w:bCs/>
      <w:sz w:val="32"/>
      <w:szCs w:val="32"/>
    </w:rPr>
  </w:style>
  <w:style w:type="character" w:default="1" w:styleId="10">
    <w:name w:val="Default Paragraph Font"/>
    <w:autoRedefine/>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link w:val="20"/>
    <w:autoRedefine/>
    <w:qFormat/>
    <w:uiPriority w:val="99"/>
    <w:pPr>
      <w:ind w:firstLine="570"/>
    </w:pPr>
    <w:rPr>
      <w:rFonts w:ascii="宋体" w:hAnsi="宋体" w:cstheme="minorBidi"/>
      <w:sz w:val="28"/>
      <w:szCs w:val="22"/>
    </w:rPr>
  </w:style>
  <w:style w:type="paragraph" w:styleId="4">
    <w:name w:val="Plain Text"/>
    <w:basedOn w:val="1"/>
    <w:link w:val="12"/>
    <w:autoRedefine/>
    <w:semiHidden/>
    <w:unhideWhenUsed/>
    <w:qFormat/>
    <w:uiPriority w:val="0"/>
    <w:rPr>
      <w:rFonts w:ascii="宋体" w:hAnsi="Courier New" w:cs="Courier New"/>
      <w:kern w:val="0"/>
      <w:sz w:val="22"/>
      <w:szCs w:val="21"/>
    </w:rPr>
  </w:style>
  <w:style w:type="paragraph" w:styleId="5">
    <w:name w:val="Balloon Text"/>
    <w:basedOn w:val="1"/>
    <w:link w:val="14"/>
    <w:semiHidden/>
    <w:unhideWhenUsed/>
    <w:uiPriority w:val="99"/>
    <w:rPr>
      <w:rFonts w:ascii="Tahoma" w:hAnsi="Tahoma" w:cs="Tahoma"/>
      <w:sz w:val="16"/>
      <w:szCs w:val="16"/>
    </w:rPr>
  </w:style>
  <w:style w:type="paragraph" w:styleId="6">
    <w:name w:val="footer"/>
    <w:basedOn w:val="1"/>
    <w:link w:val="19"/>
    <w:unhideWhenUsed/>
    <w:uiPriority w:val="99"/>
    <w:pPr>
      <w:tabs>
        <w:tab w:val="center" w:pos="4153"/>
        <w:tab w:val="right" w:pos="8306"/>
      </w:tabs>
      <w:snapToGrid w:val="0"/>
      <w:jc w:val="left"/>
    </w:pPr>
    <w:rPr>
      <w:sz w:val="18"/>
      <w:szCs w:val="18"/>
    </w:rPr>
  </w:style>
  <w:style w:type="paragraph" w:styleId="7">
    <w:name w:val="header"/>
    <w:basedOn w:val="1"/>
    <w:link w:val="18"/>
    <w:unhideWhenUsed/>
    <w:uiPriority w:val="99"/>
    <w:pPr>
      <w:pBdr>
        <w:bottom w:val="single" w:color="auto" w:sz="6" w:space="1"/>
      </w:pBdr>
      <w:tabs>
        <w:tab w:val="center" w:pos="4153"/>
        <w:tab w:val="right" w:pos="8306"/>
      </w:tabs>
      <w:snapToGrid w:val="0"/>
      <w:jc w:val="center"/>
    </w:pPr>
    <w:rPr>
      <w:sz w:val="18"/>
      <w:szCs w:val="18"/>
    </w:rPr>
  </w:style>
  <w:style w:type="paragraph" w:styleId="8">
    <w:name w:val="HTML Preformatted"/>
    <w:basedOn w:val="1"/>
    <w:link w:val="15"/>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eastAsia="Times New Roman" w:cs="Courier New"/>
      <w:kern w:val="0"/>
      <w:sz w:val="20"/>
      <w:szCs w:val="20"/>
    </w:rPr>
  </w:style>
  <w:style w:type="character" w:customStyle="1" w:styleId="11">
    <w:name w:val="标题 2 Char"/>
    <w:basedOn w:val="10"/>
    <w:link w:val="2"/>
    <w:autoRedefine/>
    <w:qFormat/>
    <w:uiPriority w:val="0"/>
    <w:rPr>
      <w:rFonts w:ascii="Arial" w:hAnsi="Arial" w:eastAsia="黑体" w:cs="Times New Roman"/>
      <w:b/>
      <w:bCs/>
      <w:kern w:val="2"/>
      <w:sz w:val="32"/>
      <w:szCs w:val="32"/>
    </w:rPr>
  </w:style>
  <w:style w:type="character" w:customStyle="1" w:styleId="12">
    <w:name w:val="纯文本 Char"/>
    <w:link w:val="4"/>
    <w:autoRedefine/>
    <w:semiHidden/>
    <w:locked/>
    <w:uiPriority w:val="0"/>
    <w:rPr>
      <w:rFonts w:ascii="宋体" w:hAnsi="Courier New" w:eastAsia="宋体" w:cs="Courier New"/>
      <w:szCs w:val="21"/>
    </w:rPr>
  </w:style>
  <w:style w:type="character" w:customStyle="1" w:styleId="13">
    <w:name w:val="Plain Text Char1"/>
    <w:basedOn w:val="10"/>
    <w:semiHidden/>
    <w:uiPriority w:val="99"/>
    <w:rPr>
      <w:rFonts w:ascii="Consolas" w:hAnsi="Consolas" w:eastAsia="宋体" w:cs="Times New Roman"/>
      <w:kern w:val="2"/>
      <w:sz w:val="21"/>
      <w:szCs w:val="21"/>
    </w:rPr>
  </w:style>
  <w:style w:type="character" w:customStyle="1" w:styleId="14">
    <w:name w:val="批注框文本 Char"/>
    <w:basedOn w:val="10"/>
    <w:link w:val="5"/>
    <w:semiHidden/>
    <w:uiPriority w:val="99"/>
    <w:rPr>
      <w:rFonts w:ascii="Tahoma" w:hAnsi="Tahoma" w:eastAsia="宋体" w:cs="Tahoma"/>
      <w:kern w:val="2"/>
      <w:sz w:val="16"/>
      <w:szCs w:val="16"/>
    </w:rPr>
  </w:style>
  <w:style w:type="character" w:customStyle="1" w:styleId="15">
    <w:name w:val="HTML 预设格式 Char"/>
    <w:basedOn w:val="10"/>
    <w:link w:val="8"/>
    <w:semiHidden/>
    <w:uiPriority w:val="99"/>
    <w:rPr>
      <w:rFonts w:ascii="Courier New" w:hAnsi="Courier New" w:eastAsia="Times New Roman" w:cs="Courier New"/>
      <w:sz w:val="20"/>
      <w:szCs w:val="20"/>
    </w:rPr>
  </w:style>
  <w:style w:type="paragraph" w:styleId="16">
    <w:name w:val="List Paragraph"/>
    <w:basedOn w:val="1"/>
    <w:qFormat/>
    <w:uiPriority w:val="34"/>
    <w:pPr>
      <w:ind w:firstLine="420" w:firstLineChars="200"/>
    </w:pPr>
  </w:style>
  <w:style w:type="paragraph" w:customStyle="1" w:styleId="17">
    <w:name w:val="Char Char2 Char Char Char"/>
    <w:basedOn w:val="1"/>
    <w:autoRedefine/>
    <w:qFormat/>
    <w:uiPriority w:val="0"/>
    <w:pPr>
      <w:numPr>
        <w:ilvl w:val="0"/>
        <w:numId w:val="1"/>
      </w:numPr>
    </w:pPr>
    <w:rPr>
      <w:sz w:val="24"/>
    </w:rPr>
  </w:style>
  <w:style w:type="character" w:customStyle="1" w:styleId="18">
    <w:name w:val="页眉 Char"/>
    <w:basedOn w:val="10"/>
    <w:link w:val="7"/>
    <w:uiPriority w:val="99"/>
    <w:rPr>
      <w:rFonts w:ascii="Times New Roman" w:hAnsi="Times New Roman" w:eastAsia="宋体" w:cs="Times New Roman"/>
      <w:kern w:val="2"/>
      <w:sz w:val="18"/>
      <w:szCs w:val="18"/>
    </w:rPr>
  </w:style>
  <w:style w:type="character" w:customStyle="1" w:styleId="19">
    <w:name w:val="页脚 Char"/>
    <w:basedOn w:val="10"/>
    <w:link w:val="6"/>
    <w:autoRedefine/>
    <w:qFormat/>
    <w:uiPriority w:val="99"/>
    <w:rPr>
      <w:rFonts w:ascii="Times New Roman" w:hAnsi="Times New Roman" w:eastAsia="宋体" w:cs="Times New Roman"/>
      <w:kern w:val="2"/>
      <w:sz w:val="18"/>
      <w:szCs w:val="18"/>
    </w:rPr>
  </w:style>
  <w:style w:type="character" w:customStyle="1" w:styleId="20">
    <w:name w:val="正文文本缩进 Char"/>
    <w:link w:val="3"/>
    <w:autoRedefine/>
    <w:qFormat/>
    <w:uiPriority w:val="99"/>
    <w:rPr>
      <w:rFonts w:ascii="宋体" w:hAnsi="宋体" w:eastAsia="宋体"/>
      <w:kern w:val="2"/>
      <w:sz w:val="28"/>
    </w:rPr>
  </w:style>
  <w:style w:type="character" w:customStyle="1" w:styleId="21">
    <w:name w:val="正文文本缩进 字符1"/>
    <w:basedOn w:val="10"/>
    <w:semiHidden/>
    <w:uiPriority w:val="99"/>
    <w:rPr>
      <w:rFonts w:ascii="Times New Roman" w:hAnsi="Times New Roman" w:eastAsia="宋体" w:cs="Times New Roman"/>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SIEMENS AG</Company>
  <Pages>3</Pages>
  <Words>251</Words>
  <Characters>1436</Characters>
  <Lines>11</Lines>
  <Paragraphs>3</Paragraphs>
  <TotalTime>452</TotalTime>
  <ScaleCrop>false</ScaleCrop>
  <LinksUpToDate>false</LinksUpToDate>
  <CharactersWithSpaces>1684</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2021-11-24T05:15:00Z</dcterms:created>
  <dc:creator>Wang, Hao (HC NEA CN-STH SV-CS GDH)</dc:creator>
  <cp:keywords>C_Unrestricted</cp:keywords>
  <cp:lastModifiedBy>chan</cp:lastModifiedBy>
  <cp:lastPrinted>2018-10-26T05:05:00Z</cp:lastPrinted>
  <dcterms:modified xsi:type="dcterms:W3CDTF">2024-04-17T07:43:14Z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-1034337543</vt:i4>
  </property>
  <property fmtid="{D5CDD505-2E9C-101B-9397-08002B2CF9AE}" pid="3" name="_NewReviewCycle">
    <vt:lpwstr/>
  </property>
  <property fmtid="{D5CDD505-2E9C-101B-9397-08002B2CF9AE}" pid="4" name="_EmailSubject">
    <vt:lpwstr/>
  </property>
  <property fmtid="{D5CDD505-2E9C-101B-9397-08002B2CF9AE}" pid="5" name="_AuthorEmail">
    <vt:lpwstr>jianhua.zhong@siemens-healthineers.com</vt:lpwstr>
  </property>
  <property fmtid="{D5CDD505-2E9C-101B-9397-08002B2CF9AE}" pid="6" name="_AuthorEmailDisplayName">
    <vt:lpwstr>Zhong, Jian Hua (SHS AP CHN CS NS STH GDH)</vt:lpwstr>
  </property>
  <property fmtid="{D5CDD505-2E9C-101B-9397-08002B2CF9AE}" pid="7" name="_PreviousAdHocReviewCycleID">
    <vt:i4>-1857515925</vt:i4>
  </property>
  <property fmtid="{D5CDD505-2E9C-101B-9397-08002B2CF9AE}" pid="8" name="_ReviewingToolsShownOnce">
    <vt:lpwstr/>
  </property>
  <property fmtid="{D5CDD505-2E9C-101B-9397-08002B2CF9AE}" pid="9" name="Document Confidentiality">
    <vt:lpwstr>Unrestricted</vt:lpwstr>
  </property>
  <property fmtid="{D5CDD505-2E9C-101B-9397-08002B2CF9AE}" pid="10" name="Document_Confidentiality">
    <vt:lpwstr>Unrestricted</vt:lpwstr>
  </property>
  <property fmtid="{D5CDD505-2E9C-101B-9397-08002B2CF9AE}" pid="11" name="sodocoClasLang">
    <vt:lpwstr>Unrestricted</vt:lpwstr>
  </property>
  <property fmtid="{D5CDD505-2E9C-101B-9397-08002B2CF9AE}" pid="12" name="sodocoClasLangId">
    <vt:i4>0</vt:i4>
  </property>
  <property fmtid="{D5CDD505-2E9C-101B-9397-08002B2CF9AE}" pid="13" name="sodocoClasId">
    <vt:i4>0</vt:i4>
  </property>
  <property fmtid="{D5CDD505-2E9C-101B-9397-08002B2CF9AE}" pid="14" name="MSIP_Label_a3d8c6b1-d8ce-4831-b4d5-1e84a25cc0cb_Enabled">
    <vt:lpwstr>true</vt:lpwstr>
  </property>
  <property fmtid="{D5CDD505-2E9C-101B-9397-08002B2CF9AE}" pid="15" name="MSIP_Label_a3d8c6b1-d8ce-4831-b4d5-1e84a25cc0cb_SetDate">
    <vt:lpwstr>2021-09-22T08:43:08Z</vt:lpwstr>
  </property>
  <property fmtid="{D5CDD505-2E9C-101B-9397-08002B2CF9AE}" pid="16" name="MSIP_Label_a3d8c6b1-d8ce-4831-b4d5-1e84a25cc0cb_Method">
    <vt:lpwstr>Standard</vt:lpwstr>
  </property>
  <property fmtid="{D5CDD505-2E9C-101B-9397-08002B2CF9AE}" pid="17" name="MSIP_Label_a3d8c6b1-d8ce-4831-b4d5-1e84a25cc0cb_Name">
    <vt:lpwstr>Unrestricted</vt:lpwstr>
  </property>
  <property fmtid="{D5CDD505-2E9C-101B-9397-08002B2CF9AE}" pid="18" name="MSIP_Label_a3d8c6b1-d8ce-4831-b4d5-1e84a25cc0cb_SiteId">
    <vt:lpwstr>5dbf1add-202a-4b8d-815b-bf0fb024e033</vt:lpwstr>
  </property>
  <property fmtid="{D5CDD505-2E9C-101B-9397-08002B2CF9AE}" pid="19" name="MSIP_Label_a3d8c6b1-d8ce-4831-b4d5-1e84a25cc0cb_ActionId">
    <vt:lpwstr>340da047-d83c-443f-8bd9-094c5ba4ea94</vt:lpwstr>
  </property>
  <property fmtid="{D5CDD505-2E9C-101B-9397-08002B2CF9AE}" pid="20" name="MSIP_Label_a3d8c6b1-d8ce-4831-b4d5-1e84a25cc0cb_ContentBits">
    <vt:lpwstr>0</vt:lpwstr>
  </property>
  <property fmtid="{D5CDD505-2E9C-101B-9397-08002B2CF9AE}" pid="21" name="KSOProductBuildVer">
    <vt:lpwstr>2052-12.1.0.16729</vt:lpwstr>
  </property>
  <property fmtid="{D5CDD505-2E9C-101B-9397-08002B2CF9AE}" pid="22" name="ICV">
    <vt:lpwstr>5937C93AF0A043B191CE1E8A2601B200_12</vt:lpwstr>
  </property>
</Properties>
</file>