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全自动化学发光免疫分析仪参数要求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检测技术：采用化学发光或电化学发光或微粒子化学发光等自动化检测技术。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</w:t>
      </w:r>
      <w:r>
        <w:rPr>
          <w:rFonts w:hint="eastAsia"/>
          <w:sz w:val="28"/>
          <w:szCs w:val="28"/>
          <w:lang w:val="en-US" w:eastAsia="zh-CN"/>
        </w:rPr>
        <w:t>检测速度：</w:t>
      </w:r>
      <w:r>
        <w:rPr>
          <w:rFonts w:hint="default" w:ascii="Arial" w:hAnsi="Arial" w:cs="Arial"/>
          <w:sz w:val="28"/>
          <w:szCs w:val="28"/>
          <w:lang w:val="en-US" w:eastAsia="zh-CN"/>
        </w:rPr>
        <w:t>≥</w:t>
      </w:r>
      <w:r>
        <w:rPr>
          <w:rFonts w:hint="eastAsia"/>
          <w:sz w:val="28"/>
          <w:szCs w:val="28"/>
          <w:lang w:val="en-US" w:eastAsia="zh-CN"/>
        </w:rPr>
        <w:t>100测试/小时。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★</w:t>
      </w:r>
      <w:r>
        <w:rPr>
          <w:rFonts w:hint="eastAsia"/>
          <w:color w:val="FF0000"/>
          <w:sz w:val="28"/>
          <w:szCs w:val="28"/>
        </w:rPr>
        <w:t>必须</w:t>
      </w:r>
      <w:r>
        <w:rPr>
          <w:rFonts w:hint="eastAsia"/>
          <w:color w:val="FF0000"/>
          <w:sz w:val="28"/>
          <w:szCs w:val="28"/>
          <w:lang w:val="en-US" w:eastAsia="zh-CN"/>
        </w:rPr>
        <w:t>可开展以下项目：</w:t>
      </w:r>
      <w:r>
        <w:rPr>
          <w:rStyle w:val="4"/>
          <w:rFonts w:hint="eastAsia" w:ascii="宋体" w:hAnsi="宋体" w:eastAsia="宋体" w:cs="宋体"/>
          <w:color w:val="FF0000"/>
          <w:sz w:val="28"/>
          <w:szCs w:val="28"/>
        </w:rPr>
        <w:t>抗双链DNA抗体、抗环瓜氨酸肽抗体、抗心磷脂抗体、抗ß2糖蛋白1抗体、糖尿病自身抗体（包括抗胰岛素抗体、谷氨酸脱羧酶抗体、抗酪氨酸磷酸酶抗体）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具备支持多种规格原始采血管上样检测，支持系统条形码自动识别功能。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定标和质控：可实行自动定标和质控功能。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网络连接：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实现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LIS双向数据传输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功能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7、支持对仪器的测试状态、试剂耗材进行实时监测。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具备急诊标本优先处理的急诊检测功能。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具备在测试过程中不停机在线更换试剂功能。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加样系统具备液面检测功能，可监测到加样针/加样吸头的空吸、堵塞情况，并具备防止/消除携带污染的能力。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11、试剂系统具备冷藏储存试剂功能。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12、整体设备的免费维保期不少于3年。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9EFFA"/>
    <w:multiLevelType w:val="singleLevel"/>
    <w:tmpl w:val="8259EF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Yzk3YWJkYjRiM2E2NzIyNzgzODJjOGUwMDA3MDIifQ=="/>
  </w:docVars>
  <w:rsids>
    <w:rsidRoot w:val="0DEF45CA"/>
    <w:rsid w:val="09E05FD1"/>
    <w:rsid w:val="0DEF45CA"/>
    <w:rsid w:val="17B51A75"/>
    <w:rsid w:val="4FE8016B"/>
    <w:rsid w:val="580B1E7F"/>
    <w:rsid w:val="7E3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2023-11-28T03:57:00Z</dcterms:created>
  <dc:creator>雷泽洪</dc:creator>
  <cp:lastModifiedBy>雷泽洪</cp:lastModifiedBy>
  <dcterms:modified xsi:type="dcterms:W3CDTF">2024-04-08T06:58:07Z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8F3233ECA7494871A791B121610E9A43_13</vt:lpwstr>
  </property>
</Properties>
</file>