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F6F03">
      <w:pPr>
        <w:jc w:val="center"/>
        <w:rPr>
          <w:rFonts w:hint="eastAsia" w:ascii="华文中宋" w:hAnsi="华文中宋" w:eastAsia="华文中宋" w:cs="华文中宋"/>
          <w:color w:val="auto"/>
          <w:sz w:val="44"/>
          <w:szCs w:val="52"/>
          <w:highlight w:val="none"/>
        </w:rPr>
      </w:pPr>
      <w:bookmarkStart w:id="0" w:name="_GoBack"/>
      <w:r>
        <w:rPr>
          <w:rFonts w:hint="eastAsia" w:ascii="华文中宋" w:hAnsi="华文中宋" w:eastAsia="华文中宋" w:cs="华文中宋"/>
          <w:color w:val="auto"/>
          <w:sz w:val="44"/>
          <w:szCs w:val="52"/>
          <w:highlight w:val="none"/>
        </w:rPr>
        <w:t>非急救医疗转运服务合规运营承诺书</w:t>
      </w:r>
      <w:bookmarkEnd w:id="0"/>
    </w:p>
    <w:p w14:paraId="7B5774C4">
      <w:pPr>
        <w:rPr>
          <w:rFonts w:hint="eastAsia" w:ascii="仿宋_GB2312" w:hAnsi="仿宋_GB2312" w:eastAsia="仿宋_GB2312" w:cs="仿宋_GB2312"/>
          <w:color w:val="auto"/>
          <w:sz w:val="32"/>
          <w:szCs w:val="40"/>
          <w:highlight w:val="none"/>
          <w:lang w:val="en-US" w:eastAsia="zh-CN"/>
        </w:rPr>
      </w:pPr>
    </w:p>
    <w:p w14:paraId="76F7C8DE">
      <w:pPr>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江门市中心医院：</w:t>
      </w:r>
    </w:p>
    <w:p w14:paraId="75C8FD08">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我方作为参与“江门市中心医院非急救医疗转运服务项目”遴选的供应商，已详细阅读并充分理解遴选公告的所有内容。为积极响应国家关于规范救护车管理及打击非法营运的号召，确保医疗服务安全、规范、有序，我方现依据《关于开展非法救护车专项整治工作的通知》（国卫办医急函〔2025〕397号）等文件精神，向贵院及社会公众作出如下郑重承诺：</w:t>
      </w:r>
    </w:p>
    <w:p w14:paraId="7FA7C0EC">
      <w:pPr>
        <w:ind w:firstLine="640" w:firstLineChars="200"/>
        <w:rPr>
          <w:rFonts w:hint="eastAsia" w:ascii="黑体" w:hAnsi="黑体" w:eastAsia="黑体" w:cs="黑体"/>
          <w:color w:val="auto"/>
          <w:sz w:val="32"/>
          <w:szCs w:val="40"/>
          <w:highlight w:val="none"/>
        </w:rPr>
      </w:pPr>
      <w:r>
        <w:rPr>
          <w:rFonts w:hint="eastAsia" w:ascii="黑体" w:hAnsi="黑体" w:eastAsia="黑体" w:cs="黑体"/>
          <w:color w:val="auto"/>
          <w:sz w:val="32"/>
          <w:szCs w:val="40"/>
          <w:highlight w:val="none"/>
        </w:rPr>
        <w:t>一、严格资质准入，杜绝“黑车”运营</w:t>
      </w:r>
    </w:p>
    <w:p w14:paraId="25150807">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1.</w:t>
      </w:r>
      <w:r>
        <w:rPr>
          <w:rFonts w:hint="eastAsia" w:ascii="仿宋_GB2312" w:hAnsi="仿宋_GB2312" w:eastAsia="仿宋_GB2312" w:cs="仿宋_GB2312"/>
          <w:color w:val="auto"/>
          <w:sz w:val="32"/>
          <w:szCs w:val="40"/>
          <w:highlight w:val="none"/>
        </w:rPr>
        <w:t>车辆性质合规：</w:t>
      </w:r>
      <w:r>
        <w:rPr>
          <w:rFonts w:hint="eastAsia" w:ascii="仿宋_GB2312" w:hAnsi="仿宋_GB2312" w:eastAsia="仿宋_GB2312" w:cs="仿宋_GB2312"/>
          <w:color w:val="auto"/>
          <w:sz w:val="32"/>
          <w:szCs w:val="40"/>
          <w:highlight w:val="none"/>
          <w:lang w:eastAsia="zh-CN"/>
        </w:rPr>
        <w:t>我方</w:t>
      </w:r>
      <w:r>
        <w:rPr>
          <w:rFonts w:hint="eastAsia" w:ascii="仿宋_GB2312" w:hAnsi="仿宋_GB2312" w:eastAsia="仿宋_GB2312" w:cs="仿宋_GB2312"/>
          <w:color w:val="auto"/>
          <w:sz w:val="32"/>
          <w:szCs w:val="40"/>
          <w:highlight w:val="none"/>
        </w:rPr>
        <w:t>承诺投入本项目的所有车辆，其行驶证登记的使用性质均为“救护”。绝不使用私家车、网约车、普通客车或未取得“救护”资质的改装车辆从事非急救转运业务。</w:t>
      </w:r>
    </w:p>
    <w:p w14:paraId="28D4B3A7">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2.</w:t>
      </w:r>
      <w:r>
        <w:rPr>
          <w:rFonts w:hint="eastAsia" w:ascii="仿宋_GB2312" w:hAnsi="仿宋_GB2312" w:eastAsia="仿宋_GB2312" w:cs="仿宋_GB2312"/>
          <w:color w:val="auto"/>
          <w:sz w:val="32"/>
          <w:szCs w:val="40"/>
          <w:highlight w:val="none"/>
        </w:rPr>
        <w:t>证照齐全有效：保证所有运营车辆具备有效的《道路运输证》（如</w:t>
      </w:r>
      <w:r>
        <w:rPr>
          <w:rFonts w:hint="eastAsia" w:ascii="仿宋_GB2312" w:hAnsi="仿宋_GB2312" w:eastAsia="仿宋_GB2312" w:cs="仿宋_GB2312"/>
          <w:color w:val="auto"/>
          <w:sz w:val="32"/>
          <w:szCs w:val="40"/>
          <w:highlight w:val="none"/>
          <w:lang w:eastAsia="zh-CN"/>
        </w:rPr>
        <w:t>地方性法规</w:t>
      </w:r>
      <w:r>
        <w:rPr>
          <w:rFonts w:hint="eastAsia" w:ascii="仿宋_GB2312" w:hAnsi="仿宋_GB2312" w:eastAsia="仿宋_GB2312" w:cs="仿宋_GB2312"/>
          <w:color w:val="auto"/>
          <w:sz w:val="32"/>
          <w:szCs w:val="40"/>
          <w:highlight w:val="none"/>
        </w:rPr>
        <w:t>要求），随车人员（驾驶员、医护人员）均持有合法的执业资格证及岗位培训合格证，做到“人车相符、持证上岗”。</w:t>
      </w:r>
    </w:p>
    <w:p w14:paraId="33FB4EB8">
      <w:pPr>
        <w:ind w:firstLine="640" w:firstLineChars="200"/>
        <w:rPr>
          <w:rFonts w:hint="eastAsia" w:ascii="黑体" w:hAnsi="黑体" w:eastAsia="黑体" w:cs="黑体"/>
          <w:color w:val="auto"/>
          <w:sz w:val="32"/>
          <w:szCs w:val="40"/>
          <w:highlight w:val="none"/>
        </w:rPr>
      </w:pPr>
      <w:r>
        <w:rPr>
          <w:rFonts w:hint="eastAsia" w:ascii="黑体" w:hAnsi="黑体" w:eastAsia="黑体" w:cs="黑体"/>
          <w:color w:val="auto"/>
          <w:sz w:val="32"/>
          <w:szCs w:val="40"/>
          <w:highlight w:val="none"/>
        </w:rPr>
        <w:t>二、规范外观标识，严禁冒充“120”</w:t>
      </w:r>
    </w:p>
    <w:p w14:paraId="6881115A">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1.</w:t>
      </w:r>
      <w:r>
        <w:rPr>
          <w:rFonts w:hint="eastAsia" w:ascii="仿宋_GB2312" w:hAnsi="仿宋_GB2312" w:eastAsia="仿宋_GB2312" w:cs="仿宋_GB2312"/>
          <w:color w:val="auto"/>
          <w:sz w:val="32"/>
          <w:szCs w:val="40"/>
          <w:highlight w:val="none"/>
        </w:rPr>
        <w:t>标识标准化：严格按照卫健、公安部门规范喷涂车身标识，统一标注“非急救转运”字样、</w:t>
      </w:r>
      <w:r>
        <w:rPr>
          <w:rFonts w:hint="eastAsia" w:ascii="仿宋_GB2312" w:hAnsi="仿宋_GB2312" w:eastAsia="仿宋_GB2312" w:cs="仿宋_GB2312"/>
          <w:color w:val="auto"/>
          <w:sz w:val="32"/>
          <w:szCs w:val="40"/>
          <w:highlight w:val="none"/>
          <w:lang w:eastAsia="zh-CN"/>
        </w:rPr>
        <w:t>我方</w:t>
      </w:r>
      <w:r>
        <w:rPr>
          <w:rFonts w:hint="eastAsia" w:ascii="仿宋_GB2312" w:hAnsi="仿宋_GB2312" w:eastAsia="仿宋_GB2312" w:cs="仿宋_GB2312"/>
          <w:color w:val="auto"/>
          <w:sz w:val="32"/>
          <w:szCs w:val="40"/>
          <w:highlight w:val="none"/>
        </w:rPr>
        <w:t>名称及监督电话。</w:t>
      </w:r>
    </w:p>
    <w:p w14:paraId="4EBFCEF7">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2.</w:t>
      </w:r>
      <w:r>
        <w:rPr>
          <w:rFonts w:hint="eastAsia" w:ascii="仿宋_GB2312" w:hAnsi="仿宋_GB2312" w:eastAsia="仿宋_GB2312" w:cs="仿宋_GB2312"/>
          <w:color w:val="auto"/>
          <w:sz w:val="32"/>
          <w:szCs w:val="40"/>
          <w:highlight w:val="none"/>
        </w:rPr>
        <w:t>“三严禁”承诺：</w:t>
      </w:r>
    </w:p>
    <w:p w14:paraId="47176022">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1</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严禁在车身喷涂“120</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急救</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急诊”等误导性字样；</w:t>
      </w:r>
    </w:p>
    <w:p w14:paraId="1564F64E">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2</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严禁安装警灯、警报器及使用救护车专用警报音效；</w:t>
      </w:r>
    </w:p>
    <w:p w14:paraId="7183AB0D">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3</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严禁冒充公立医疗机构或120急救中心名义进行宣传、揽客。</w:t>
      </w:r>
    </w:p>
    <w:p w14:paraId="1C371B78">
      <w:pPr>
        <w:ind w:firstLine="640" w:firstLineChars="200"/>
        <w:rPr>
          <w:rFonts w:hint="eastAsia" w:ascii="黑体" w:hAnsi="黑体" w:eastAsia="黑体" w:cs="黑体"/>
          <w:color w:val="auto"/>
          <w:sz w:val="32"/>
          <w:szCs w:val="40"/>
          <w:highlight w:val="none"/>
        </w:rPr>
      </w:pPr>
      <w:r>
        <w:rPr>
          <w:rFonts w:hint="eastAsia" w:ascii="黑体" w:hAnsi="黑体" w:eastAsia="黑体" w:cs="黑体"/>
          <w:color w:val="auto"/>
          <w:sz w:val="32"/>
          <w:szCs w:val="40"/>
          <w:highlight w:val="none"/>
        </w:rPr>
        <w:t>三、执行价格公示，杜绝乱收费</w:t>
      </w:r>
    </w:p>
    <w:p w14:paraId="55523AC2">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1.</w:t>
      </w:r>
      <w:r>
        <w:rPr>
          <w:rFonts w:hint="eastAsia" w:ascii="仿宋_GB2312" w:hAnsi="仿宋_GB2312" w:eastAsia="仿宋_GB2312" w:cs="仿宋_GB2312"/>
          <w:color w:val="auto"/>
          <w:sz w:val="32"/>
          <w:szCs w:val="40"/>
          <w:highlight w:val="none"/>
        </w:rPr>
        <w:t>明码标价：严格执行江门市发展改革局及卫生健康局核定的非急救医疗转运收费标准，在车内显著位置及预约平台公示收费项目、标准及计价方式。</w:t>
      </w:r>
    </w:p>
    <w:p w14:paraId="599C9ABC">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2.</w:t>
      </w:r>
      <w:r>
        <w:rPr>
          <w:rFonts w:hint="eastAsia" w:ascii="仿宋_GB2312" w:hAnsi="仿宋_GB2312" w:eastAsia="仿宋_GB2312" w:cs="仿宋_GB2312"/>
          <w:color w:val="auto"/>
          <w:sz w:val="32"/>
          <w:szCs w:val="40"/>
          <w:highlight w:val="none"/>
        </w:rPr>
        <w:t>拒绝</w:t>
      </w:r>
      <w:r>
        <w:rPr>
          <w:rFonts w:hint="eastAsia" w:ascii="仿宋_GB2312" w:hAnsi="仿宋_GB2312" w:eastAsia="仿宋_GB2312" w:cs="仿宋_GB2312"/>
          <w:color w:val="auto"/>
          <w:sz w:val="32"/>
          <w:szCs w:val="40"/>
          <w:highlight w:val="none"/>
          <w:lang w:eastAsia="zh-CN"/>
        </w:rPr>
        <w:t>隐性消费</w:t>
      </w:r>
      <w:r>
        <w:rPr>
          <w:rFonts w:hint="eastAsia" w:ascii="仿宋_GB2312" w:hAnsi="仿宋_GB2312" w:eastAsia="仿宋_GB2312" w:cs="仿宋_GB2312"/>
          <w:color w:val="auto"/>
          <w:sz w:val="32"/>
          <w:szCs w:val="40"/>
          <w:highlight w:val="none"/>
        </w:rPr>
        <w:t>：承诺不设立任何未标明的收费项目，不中途加价，不索取红包，不强制捆绑销售其他服务。</w:t>
      </w:r>
    </w:p>
    <w:p w14:paraId="0AD8C8E9">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3.</w:t>
      </w:r>
      <w:r>
        <w:rPr>
          <w:rFonts w:hint="eastAsia" w:ascii="仿宋_GB2312" w:hAnsi="仿宋_GB2312" w:eastAsia="仿宋_GB2312" w:cs="仿宋_GB2312"/>
          <w:color w:val="auto"/>
          <w:sz w:val="32"/>
          <w:szCs w:val="40"/>
          <w:highlight w:val="none"/>
        </w:rPr>
        <w:t>正规票据：每次服务结束后，主动向患者提供正规税务发票或符合财务规定的结算凭证。</w:t>
      </w:r>
    </w:p>
    <w:p w14:paraId="421D5E89">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4.</w:t>
      </w:r>
      <w:r>
        <w:rPr>
          <w:rFonts w:hint="eastAsia" w:ascii="仿宋_GB2312" w:hAnsi="仿宋_GB2312" w:eastAsia="仿宋_GB2312" w:cs="仿宋_GB2312"/>
          <w:color w:val="auto"/>
          <w:sz w:val="32"/>
          <w:szCs w:val="40"/>
          <w:highlight w:val="none"/>
        </w:rPr>
        <w:t>全网比价承诺</w:t>
      </w:r>
    </w:p>
    <w:p w14:paraId="2FCAC8C8">
      <w:pPr>
        <w:ind w:firstLine="640" w:firstLineChars="200"/>
        <w:rPr>
          <w:rFonts w:hint="eastAsia" w:ascii="仿宋_GB2312" w:hAnsi="仿宋_GB2312" w:eastAsia="仿宋_GB2312" w:cs="仿宋_GB2312"/>
          <w:color w:val="auto"/>
          <w:sz w:val="32"/>
          <w:szCs w:val="40"/>
          <w:highlight w:val="none"/>
        </w:rPr>
      </w:pPr>
      <w:r>
        <w:rPr>
          <w:rFonts w:hint="default" w:ascii="仿宋_GB2312" w:hAnsi="仿宋_GB2312" w:eastAsia="仿宋_GB2312" w:cs="仿宋_GB2312"/>
          <w:color w:val="auto"/>
          <w:sz w:val="32"/>
          <w:szCs w:val="40"/>
          <w:highlight w:val="none"/>
        </w:rPr>
        <w:t>在服务期内，提供给贵院患者的所有服务价格</w:t>
      </w:r>
      <w:r>
        <w:rPr>
          <w:rFonts w:hint="eastAsia" w:ascii="仿宋_GB2312" w:hAnsi="仿宋_GB2312" w:eastAsia="仿宋_GB2312" w:cs="仿宋_GB2312"/>
          <w:color w:val="auto"/>
          <w:sz w:val="32"/>
          <w:szCs w:val="40"/>
          <w:highlight w:val="none"/>
          <w:lang w:val="en-US" w:eastAsia="zh-CN"/>
        </w:rPr>
        <w:t>接受全网比价，</w:t>
      </w:r>
      <w:r>
        <w:rPr>
          <w:rFonts w:hint="default" w:ascii="仿宋_GB2312" w:hAnsi="仿宋_GB2312" w:eastAsia="仿宋_GB2312" w:cs="仿宋_GB2312"/>
          <w:color w:val="auto"/>
          <w:sz w:val="32"/>
          <w:szCs w:val="40"/>
          <w:highlight w:val="none"/>
        </w:rPr>
        <w:t>若</w:t>
      </w:r>
      <w:r>
        <w:rPr>
          <w:rFonts w:hint="eastAsia" w:ascii="仿宋_GB2312" w:hAnsi="仿宋_GB2312" w:eastAsia="仿宋_GB2312" w:cs="仿宋_GB2312"/>
          <w:color w:val="auto"/>
          <w:sz w:val="32"/>
          <w:szCs w:val="40"/>
          <w:highlight w:val="none"/>
          <w:lang w:eastAsia="zh-CN"/>
        </w:rPr>
        <w:t>我方</w:t>
      </w:r>
      <w:r>
        <w:rPr>
          <w:rFonts w:hint="default" w:ascii="仿宋_GB2312" w:hAnsi="仿宋_GB2312" w:eastAsia="仿宋_GB2312" w:cs="仿宋_GB2312"/>
          <w:color w:val="auto"/>
          <w:sz w:val="32"/>
          <w:szCs w:val="40"/>
          <w:highlight w:val="none"/>
        </w:rPr>
        <w:t>在其他渠道推出打折、满减、会员优惠等活动，贵院患者自动享有同等优惠，无需额外申请，</w:t>
      </w:r>
      <w:r>
        <w:rPr>
          <w:rFonts w:hint="eastAsia" w:ascii="仿宋_GB2312" w:hAnsi="仿宋_GB2312" w:eastAsia="仿宋_GB2312" w:cs="仿宋_GB2312"/>
          <w:color w:val="auto"/>
          <w:sz w:val="32"/>
          <w:szCs w:val="40"/>
          <w:highlight w:val="none"/>
          <w:lang w:val="en-US" w:eastAsia="zh-CN"/>
        </w:rPr>
        <w:t>并</w:t>
      </w:r>
      <w:r>
        <w:rPr>
          <w:rFonts w:hint="default" w:ascii="仿宋_GB2312" w:hAnsi="仿宋_GB2312" w:eastAsia="仿宋_GB2312" w:cs="仿宋_GB2312"/>
          <w:color w:val="auto"/>
          <w:sz w:val="32"/>
          <w:szCs w:val="40"/>
          <w:highlight w:val="none"/>
        </w:rPr>
        <w:t>承诺在24小时内同步调整贵院端的服务价格，确保价格联动。</w:t>
      </w:r>
    </w:p>
    <w:p w14:paraId="7A549125">
      <w:pPr>
        <w:ind w:firstLine="640" w:firstLineChars="200"/>
        <w:rPr>
          <w:rFonts w:hint="default" w:ascii="仿宋_GB2312" w:hAnsi="仿宋_GB2312" w:eastAsia="仿宋_GB2312" w:cs="仿宋_GB2312"/>
          <w:color w:val="auto"/>
          <w:sz w:val="32"/>
          <w:szCs w:val="40"/>
          <w:highlight w:val="none"/>
          <w:lang w:val="en-US" w:eastAsia="zh-CN"/>
        </w:rPr>
      </w:pPr>
    </w:p>
    <w:p w14:paraId="07C8DB18">
      <w:pPr>
        <w:ind w:firstLine="640" w:firstLineChars="200"/>
        <w:rPr>
          <w:rFonts w:hint="eastAsia" w:ascii="黑体" w:hAnsi="黑体" w:eastAsia="黑体" w:cs="黑体"/>
          <w:color w:val="auto"/>
          <w:sz w:val="32"/>
          <w:szCs w:val="40"/>
          <w:highlight w:val="none"/>
        </w:rPr>
      </w:pPr>
      <w:r>
        <w:rPr>
          <w:rFonts w:hint="eastAsia" w:ascii="黑体" w:hAnsi="黑体" w:eastAsia="黑体" w:cs="黑体"/>
          <w:color w:val="auto"/>
          <w:sz w:val="32"/>
          <w:szCs w:val="40"/>
          <w:highlight w:val="none"/>
        </w:rPr>
        <w:t>四、落实主体责任，强化安全管理</w:t>
      </w:r>
    </w:p>
    <w:p w14:paraId="03C44E0F">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1.</w:t>
      </w:r>
      <w:r>
        <w:rPr>
          <w:rFonts w:hint="eastAsia" w:ascii="仿宋_GB2312" w:hAnsi="仿宋_GB2312" w:eastAsia="仿宋_GB2312" w:cs="仿宋_GB2312"/>
          <w:color w:val="auto"/>
          <w:sz w:val="32"/>
          <w:szCs w:val="40"/>
          <w:highlight w:val="none"/>
        </w:rPr>
        <w:t>设备配置达标：每辆转运车均按标准配备监护仪、除颤仪、便携式吸引器、供氧设备及固定担架，并建立定期维保记录，确保设备完好率100%。</w:t>
      </w:r>
    </w:p>
    <w:p w14:paraId="111A100A">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2.</w:t>
      </w:r>
      <w:r>
        <w:rPr>
          <w:rFonts w:hint="eastAsia" w:ascii="仿宋_GB2312" w:hAnsi="仿宋_GB2312" w:eastAsia="仿宋_GB2312" w:cs="仿宋_GB2312"/>
          <w:color w:val="auto"/>
          <w:sz w:val="32"/>
          <w:szCs w:val="40"/>
          <w:highlight w:val="none"/>
        </w:rPr>
        <w:t>保险全覆盖：为每辆车购买足额的交强险、商业三者险（保额≥</w:t>
      </w:r>
      <w:r>
        <w:rPr>
          <w:rFonts w:hint="eastAsia" w:ascii="仿宋_GB2312" w:hAnsi="仿宋_GB2312" w:eastAsia="仿宋_GB2312" w:cs="仿宋_GB2312"/>
          <w:color w:val="auto"/>
          <w:sz w:val="32"/>
          <w:szCs w:val="40"/>
          <w:highlight w:val="none"/>
          <w:lang w:val="en-US" w:eastAsia="zh-CN"/>
        </w:rPr>
        <w:t>3</w:t>
      </w:r>
      <w:r>
        <w:rPr>
          <w:rFonts w:hint="eastAsia" w:ascii="仿宋_GB2312" w:hAnsi="仿宋_GB2312" w:eastAsia="仿宋_GB2312" w:cs="仿宋_GB2312"/>
          <w:color w:val="auto"/>
          <w:sz w:val="32"/>
          <w:szCs w:val="40"/>
          <w:highlight w:val="none"/>
        </w:rPr>
        <w:t>00万元）及承运人责任险（每座保额≥50万元），确保风险可控。</w:t>
      </w:r>
    </w:p>
    <w:p w14:paraId="641B3BDD">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3.</w:t>
      </w:r>
      <w:r>
        <w:rPr>
          <w:rFonts w:hint="eastAsia" w:ascii="仿宋_GB2312" w:hAnsi="仿宋_GB2312" w:eastAsia="仿宋_GB2312" w:cs="仿宋_GB2312"/>
          <w:color w:val="auto"/>
          <w:sz w:val="32"/>
          <w:szCs w:val="40"/>
          <w:highlight w:val="none"/>
        </w:rPr>
        <w:t>院感防控：严格执行“一患一消毒”制度，规范处置医疗废物，防止交叉感染。</w:t>
      </w:r>
    </w:p>
    <w:p w14:paraId="54AC95C6">
      <w:pPr>
        <w:ind w:firstLine="640" w:firstLineChars="200"/>
        <w:rPr>
          <w:rFonts w:hint="eastAsia" w:ascii="黑体" w:hAnsi="黑体" w:eastAsia="黑体" w:cs="黑体"/>
          <w:color w:val="auto"/>
          <w:sz w:val="32"/>
          <w:szCs w:val="40"/>
          <w:highlight w:val="none"/>
        </w:rPr>
      </w:pPr>
      <w:r>
        <w:rPr>
          <w:rFonts w:hint="eastAsia" w:ascii="黑体" w:hAnsi="黑体" w:eastAsia="黑体" w:cs="黑体"/>
          <w:color w:val="auto"/>
          <w:sz w:val="32"/>
          <w:szCs w:val="40"/>
          <w:highlight w:val="none"/>
        </w:rPr>
        <w:t>五、严守廉洁底线，禁止商业贿赂</w:t>
      </w:r>
    </w:p>
    <w:p w14:paraId="2F5E1117">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1.</w:t>
      </w:r>
      <w:r>
        <w:rPr>
          <w:rFonts w:hint="eastAsia" w:ascii="仿宋_GB2312" w:hAnsi="仿宋_GB2312" w:eastAsia="仿宋_GB2312" w:cs="仿宋_GB2312"/>
          <w:color w:val="auto"/>
          <w:sz w:val="32"/>
          <w:szCs w:val="40"/>
          <w:highlight w:val="none"/>
        </w:rPr>
        <w:t>阳光合作：</w:t>
      </w:r>
      <w:r>
        <w:rPr>
          <w:rFonts w:hint="eastAsia" w:ascii="仿宋_GB2312" w:hAnsi="仿宋_GB2312" w:eastAsia="仿宋_GB2312" w:cs="仿宋_GB2312"/>
          <w:color w:val="auto"/>
          <w:sz w:val="32"/>
          <w:szCs w:val="40"/>
          <w:highlight w:val="none"/>
          <w:lang w:eastAsia="zh-CN"/>
        </w:rPr>
        <w:t>我方</w:t>
      </w:r>
      <w:r>
        <w:rPr>
          <w:rFonts w:hint="eastAsia" w:ascii="仿宋_GB2312" w:hAnsi="仿宋_GB2312" w:eastAsia="仿宋_GB2312" w:cs="仿宋_GB2312"/>
          <w:color w:val="auto"/>
          <w:sz w:val="32"/>
          <w:szCs w:val="40"/>
          <w:highlight w:val="none"/>
        </w:rPr>
        <w:t>承诺在业务开展过程中，严格遵守《医疗机构工作人员廉洁从业九项准则》，绝不向贵院任何科室或个人输送利益（包括但不限于回扣、提成、礼金、有价证券等）以获取病源。</w:t>
      </w:r>
    </w:p>
    <w:p w14:paraId="3E4CAB5D">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2.</w:t>
      </w:r>
      <w:r>
        <w:rPr>
          <w:rFonts w:hint="eastAsia" w:ascii="仿宋_GB2312" w:hAnsi="仿宋_GB2312" w:eastAsia="仿宋_GB2312" w:cs="仿宋_GB2312"/>
          <w:color w:val="auto"/>
          <w:sz w:val="32"/>
          <w:szCs w:val="40"/>
          <w:highlight w:val="none"/>
        </w:rPr>
        <w:t>抵制黄牛：坚决抵制与“医托</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黄牛”勾结，不通过不正当手段垄断客源。</w:t>
      </w:r>
    </w:p>
    <w:p w14:paraId="3AD41CDC">
      <w:pPr>
        <w:ind w:firstLine="640" w:firstLineChars="200"/>
        <w:rPr>
          <w:rFonts w:hint="eastAsia" w:ascii="黑体" w:hAnsi="黑体" w:eastAsia="黑体" w:cs="黑体"/>
          <w:color w:val="auto"/>
          <w:sz w:val="32"/>
          <w:szCs w:val="40"/>
          <w:highlight w:val="none"/>
        </w:rPr>
      </w:pPr>
      <w:r>
        <w:rPr>
          <w:rFonts w:hint="eastAsia" w:ascii="黑体" w:hAnsi="黑体" w:eastAsia="黑体" w:cs="黑体"/>
          <w:color w:val="auto"/>
          <w:sz w:val="32"/>
          <w:szCs w:val="40"/>
          <w:highlight w:val="none"/>
        </w:rPr>
        <w:t>六、违约责任与退出机制</w:t>
      </w:r>
    </w:p>
    <w:p w14:paraId="1C48D760">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若我方违反上述任一承诺，自愿接受以下处理：</w:t>
      </w:r>
    </w:p>
    <w:p w14:paraId="1B61D0BE">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1.</w:t>
      </w:r>
      <w:r>
        <w:rPr>
          <w:rFonts w:hint="eastAsia" w:ascii="仿宋_GB2312" w:hAnsi="仿宋_GB2312" w:eastAsia="仿宋_GB2312" w:cs="仿宋_GB2312"/>
          <w:color w:val="auto"/>
          <w:sz w:val="32"/>
          <w:szCs w:val="40"/>
          <w:highlight w:val="none"/>
        </w:rPr>
        <w:t>立即整改：在收到贵院或监管部门通知后24小时内完成整改，并提交书面报告。</w:t>
      </w:r>
    </w:p>
    <w:p w14:paraId="157891AA">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2.</w:t>
      </w:r>
      <w:r>
        <w:rPr>
          <w:rFonts w:hint="eastAsia" w:ascii="仿宋_GB2312" w:hAnsi="仿宋_GB2312" w:eastAsia="仿宋_GB2312" w:cs="仿宋_GB2312"/>
          <w:color w:val="auto"/>
          <w:sz w:val="32"/>
          <w:szCs w:val="40"/>
          <w:highlight w:val="none"/>
        </w:rPr>
        <w:t>经济赔偿：对因违规操作给患者、贵院造成的经济损失及声誉损害，承担全部赔偿责任（包括乱收费部分的双倍赔付）。</w:t>
      </w:r>
    </w:p>
    <w:p w14:paraId="2BD8C115">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3.</w:t>
      </w:r>
      <w:r>
        <w:rPr>
          <w:rFonts w:hint="eastAsia" w:ascii="仿宋_GB2312" w:hAnsi="仿宋_GB2312" w:eastAsia="仿宋_GB2312" w:cs="仿宋_GB2312"/>
          <w:color w:val="auto"/>
          <w:sz w:val="32"/>
          <w:szCs w:val="40"/>
          <w:highlight w:val="none"/>
        </w:rPr>
        <w:t>解除合同：若发生冒充120、重大安全责任事故、严重价格欺诈或商业贿赂行为，贵院有权单方面立即解除服务合同，并将</w:t>
      </w:r>
      <w:r>
        <w:rPr>
          <w:rFonts w:hint="eastAsia" w:ascii="仿宋_GB2312" w:hAnsi="仿宋_GB2312" w:eastAsia="仿宋_GB2312" w:cs="仿宋_GB2312"/>
          <w:color w:val="auto"/>
          <w:sz w:val="32"/>
          <w:szCs w:val="40"/>
          <w:highlight w:val="none"/>
          <w:lang w:eastAsia="zh-CN"/>
        </w:rPr>
        <w:t>我方</w:t>
      </w:r>
      <w:r>
        <w:rPr>
          <w:rFonts w:hint="eastAsia" w:ascii="仿宋_GB2312" w:hAnsi="仿宋_GB2312" w:eastAsia="仿宋_GB2312" w:cs="仿宋_GB2312"/>
          <w:color w:val="auto"/>
          <w:sz w:val="32"/>
          <w:szCs w:val="40"/>
          <w:highlight w:val="none"/>
        </w:rPr>
        <w:t>列入“黑名单”，禁止参与贵院任何项目。</w:t>
      </w:r>
    </w:p>
    <w:p w14:paraId="1E5AB78E">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4.</w:t>
      </w:r>
      <w:r>
        <w:rPr>
          <w:rFonts w:hint="eastAsia" w:ascii="仿宋_GB2312" w:hAnsi="仿宋_GB2312" w:eastAsia="仿宋_GB2312" w:cs="仿宋_GB2312"/>
          <w:color w:val="auto"/>
          <w:sz w:val="32"/>
          <w:szCs w:val="40"/>
          <w:highlight w:val="none"/>
        </w:rPr>
        <w:t>法律责任：自愿接受卫健、交通、公安、市场监管等行政部门的行政处罚；构成犯罪的，依法移送司法机关追究刑事责任。</w:t>
      </w:r>
    </w:p>
    <w:p w14:paraId="6F85B8D4">
      <w:pPr>
        <w:ind w:firstLine="640"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本承诺书自签字盖章之日起生效，作为双方签订服务合同的重要附件，具有同等法律效力。</w:t>
      </w:r>
    </w:p>
    <w:p w14:paraId="2FE1931B">
      <w:pPr>
        <w:rPr>
          <w:rFonts w:hint="eastAsia" w:ascii="仿宋_GB2312" w:hAnsi="仿宋_GB2312" w:eastAsia="仿宋_GB2312" w:cs="仿宋_GB2312"/>
          <w:color w:val="auto"/>
          <w:sz w:val="32"/>
          <w:szCs w:val="40"/>
          <w:highlight w:val="none"/>
          <w:lang w:val="en-US" w:eastAsia="zh-CN"/>
        </w:rPr>
      </w:pPr>
    </w:p>
    <w:p w14:paraId="02BA1974">
      <w:pPr>
        <w:ind w:firstLine="1920" w:firstLineChars="600"/>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承诺单位（公章） [请填写机构全称]</w:t>
      </w:r>
    </w:p>
    <w:p w14:paraId="679440DA">
      <w:pPr>
        <w:ind w:firstLine="1920" w:firstLineChars="600"/>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法定代表人（签字） _______________</w:t>
      </w:r>
    </w:p>
    <w:p w14:paraId="5C525AF9">
      <w:pPr>
        <w:ind w:firstLine="1920" w:firstLineChars="600"/>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项目负责人（签字） _______________</w:t>
      </w:r>
    </w:p>
    <w:p w14:paraId="70C20C3B">
      <w:pPr>
        <w:ind w:firstLine="1920" w:firstLineChars="600"/>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联系电话： _______________</w:t>
      </w:r>
    </w:p>
    <w:p w14:paraId="10CFE240">
      <w:pPr>
        <w:ind w:firstLine="1920" w:firstLineChars="600"/>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日期： 202__年__月__日</w:t>
      </w:r>
    </w:p>
    <w:p w14:paraId="1D5E99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40660"/>
    <w:rsid w:val="42C40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2026-03-27T04:00:00Z</dcterms:created>
  <dc:creator>简小粉</dc:creator>
  <cp:lastModifiedBy>简小粉</cp:lastModifiedBy>
  <dcterms:modified xsi:type="dcterms:W3CDTF">2026-03-27T04:00:11Z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264760D647AB4C46BE17F6A2CACABADB_11</vt:lpwstr>
  </property>
  <property fmtid="{D5CDD505-2E9C-101B-9397-08002B2CF9AE}" pid="4" name="KSOTemplateDocerSaveRecord">
    <vt:lpwstr>eyJoZGlkIjoiYjk3ZDRmYjkzZWVjMTkzYWNkMjNiOTQ4ZmZhNzQyZmUiLCJ1c2VySWQiOiIyNTI0NDIxODUifQ==</vt:lpwstr>
  </property>
</Properties>
</file>