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982F76">
      <w:pPr>
        <w:numPr>
          <w:ilvl w:val="255"/>
          <w:numId w:val="0"/>
        </w:numPr>
        <w:spacing w:line="360" w:lineRule="auto"/>
        <w:ind w:left="0" w:firstLine="480" w:firstLineChars="200"/>
        <w:jc w:val="left"/>
        <w:rPr>
          <w:rFonts w:hint="eastAsia" w:ascii="仿宋" w:hAnsi="仿宋" w:eastAsia="仿宋" w:cs="仿宋"/>
          <w:b w:val="0"/>
          <w:bCs w:val="0"/>
          <w:sz w:val="24"/>
          <w:szCs w:val="24"/>
          <w:lang w:eastAsia="zh-CN"/>
        </w:rPr>
      </w:pPr>
      <w:r>
        <w:rPr>
          <w:rFonts w:hint="eastAsia" w:ascii="仿宋" w:hAnsi="仿宋" w:eastAsia="仿宋" w:cs="仿宋"/>
          <w:b w:val="0"/>
          <w:bCs w:val="0"/>
          <w:sz w:val="24"/>
          <w:szCs w:val="24"/>
          <w:lang w:eastAsia="zh-CN"/>
        </w:rPr>
        <w:t>附件1</w:t>
      </w:r>
    </w:p>
    <w:p w14:paraId="434346A8">
      <w:pPr>
        <w:numPr>
          <w:ilvl w:val="255"/>
          <w:numId w:val="0"/>
        </w:numPr>
        <w:spacing w:line="360" w:lineRule="auto"/>
        <w:ind w:firstLine="0" w:firstLineChars="0"/>
        <w:jc w:val="center"/>
        <w:rPr>
          <w:rFonts w:hint="eastAsia" w:ascii="仿宋" w:hAnsi="仿宋" w:eastAsia="仿宋" w:cs="仿宋"/>
          <w:b w:val="0"/>
          <w:bCs w:val="0"/>
          <w:sz w:val="24"/>
          <w:szCs w:val="24"/>
          <w:lang w:eastAsia="zh-CN"/>
        </w:rPr>
      </w:pPr>
      <w:r>
        <w:rPr>
          <w:rFonts w:hint="eastAsia" w:ascii="仿宋" w:hAnsi="仿宋" w:eastAsia="仿宋" w:cs="仿宋"/>
          <w:b/>
          <w:bCs/>
          <w:sz w:val="24"/>
          <w:szCs w:val="24"/>
          <w:lang w:eastAsia="zh-CN"/>
        </w:rPr>
        <w:t>用户需求书</w:t>
      </w:r>
    </w:p>
    <w:p w14:paraId="797ED18C">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一、中标供应商向采购人提供如下产品：</w:t>
      </w:r>
    </w:p>
    <w:tbl>
      <w:tblPr>
        <w:tblStyle w:val="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5" w:type="dxa"/>
          <w:left w:w="15" w:type="dxa"/>
          <w:bottom w:w="15" w:type="dxa"/>
          <w:right w:w="15" w:type="dxa"/>
        </w:tblCellMar>
      </w:tblPr>
      <w:tblGrid>
        <w:gridCol w:w="738"/>
        <w:gridCol w:w="1114"/>
        <w:gridCol w:w="1114"/>
        <w:gridCol w:w="1650"/>
        <w:gridCol w:w="1150"/>
        <w:gridCol w:w="2379"/>
        <w:gridCol w:w="1213"/>
      </w:tblGrid>
      <w:tr w14:paraId="7EADD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c>
          <w:tcPr>
            <w:tcW w:w="394" w:type="pct"/>
            <w:shd w:val="clear" w:color="auto" w:fill="FFFFFF"/>
            <w:noWrap w:val="0"/>
            <w:vAlign w:val="center"/>
          </w:tcPr>
          <w:p w14:paraId="446C4871">
            <w:pPr>
              <w:widowControl/>
              <w:spacing w:line="4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序号</w:t>
            </w:r>
          </w:p>
        </w:tc>
        <w:tc>
          <w:tcPr>
            <w:tcW w:w="595" w:type="pct"/>
            <w:shd w:val="clear" w:color="auto" w:fill="FFFFFF"/>
            <w:noWrap w:val="0"/>
            <w:vAlign w:val="center"/>
          </w:tcPr>
          <w:p w14:paraId="3B8B649E">
            <w:pPr>
              <w:widowControl/>
              <w:spacing w:line="4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名称</w:t>
            </w:r>
          </w:p>
        </w:tc>
        <w:tc>
          <w:tcPr>
            <w:tcW w:w="595" w:type="pct"/>
            <w:shd w:val="clear" w:color="auto" w:fill="FFFFFF"/>
            <w:noWrap w:val="0"/>
            <w:vAlign w:val="center"/>
          </w:tcPr>
          <w:p w14:paraId="177492EE">
            <w:pPr>
              <w:widowControl/>
              <w:spacing w:line="4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水质</w:t>
            </w:r>
          </w:p>
        </w:tc>
        <w:tc>
          <w:tcPr>
            <w:tcW w:w="881" w:type="pct"/>
            <w:shd w:val="clear" w:color="auto" w:fill="FFFFFF"/>
            <w:noWrap w:val="0"/>
            <w:vAlign w:val="center"/>
          </w:tcPr>
          <w:p w14:paraId="7AEF5EC5">
            <w:pPr>
              <w:widowControl/>
              <w:spacing w:line="4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规格</w:t>
            </w:r>
          </w:p>
        </w:tc>
        <w:tc>
          <w:tcPr>
            <w:tcW w:w="614" w:type="pct"/>
            <w:shd w:val="clear" w:color="auto" w:fill="FFFFFF"/>
            <w:noWrap w:val="0"/>
            <w:vAlign w:val="center"/>
          </w:tcPr>
          <w:p w14:paraId="0985FE73">
            <w:pPr>
              <w:widowControl/>
              <w:spacing w:line="400" w:lineRule="exact"/>
              <w:jc w:val="center"/>
              <w:textAlignment w:val="center"/>
              <w:rPr>
                <w:rFonts w:hint="eastAsia" w:ascii="仿宋" w:hAnsi="仿宋" w:eastAsia="仿宋" w:cs="仿宋"/>
                <w:b/>
                <w:sz w:val="24"/>
                <w:szCs w:val="24"/>
              </w:rPr>
            </w:pPr>
            <w:r>
              <w:rPr>
                <w:rFonts w:hint="eastAsia" w:ascii="仿宋" w:hAnsi="仿宋" w:eastAsia="仿宋" w:cs="仿宋"/>
                <w:b/>
                <w:kern w:val="0"/>
                <w:sz w:val="24"/>
                <w:szCs w:val="24"/>
                <w:lang w:bidi="ar"/>
              </w:rPr>
              <w:t>单位</w:t>
            </w:r>
          </w:p>
        </w:tc>
        <w:tc>
          <w:tcPr>
            <w:tcW w:w="1270" w:type="pct"/>
            <w:noWrap w:val="0"/>
            <w:vAlign w:val="center"/>
          </w:tcPr>
          <w:p w14:paraId="2CBAD104">
            <w:pPr>
              <w:widowControl/>
              <w:spacing w:line="4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质量要求</w:t>
            </w:r>
          </w:p>
        </w:tc>
        <w:tc>
          <w:tcPr>
            <w:tcW w:w="647" w:type="pct"/>
            <w:noWrap w:val="0"/>
            <w:vAlign w:val="center"/>
          </w:tcPr>
          <w:p w14:paraId="4BA1CE2A">
            <w:pPr>
              <w:widowControl/>
              <w:spacing w:line="400" w:lineRule="exact"/>
              <w:jc w:val="center"/>
              <w:textAlignment w:val="center"/>
              <w:rPr>
                <w:rFonts w:hint="eastAsia" w:ascii="仿宋" w:hAnsi="仿宋" w:eastAsia="仿宋" w:cs="仿宋"/>
                <w:b/>
                <w:kern w:val="0"/>
                <w:sz w:val="24"/>
                <w:szCs w:val="24"/>
                <w:lang w:bidi="ar"/>
              </w:rPr>
            </w:pPr>
            <w:r>
              <w:rPr>
                <w:rFonts w:hint="eastAsia" w:ascii="仿宋" w:hAnsi="仿宋" w:eastAsia="仿宋" w:cs="仿宋"/>
                <w:b/>
                <w:kern w:val="0"/>
                <w:sz w:val="24"/>
                <w:szCs w:val="24"/>
                <w:lang w:bidi="ar"/>
              </w:rPr>
              <w:t>用水量占比（根据以往用量进行估算）</w:t>
            </w:r>
          </w:p>
        </w:tc>
      </w:tr>
      <w:tr w14:paraId="16BF6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67" w:hRule="atLeast"/>
        </w:trPr>
        <w:tc>
          <w:tcPr>
            <w:tcW w:w="394" w:type="pct"/>
            <w:noWrap w:val="0"/>
            <w:vAlign w:val="center"/>
          </w:tcPr>
          <w:p w14:paraId="23787C5D">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1</w:t>
            </w:r>
          </w:p>
        </w:tc>
        <w:tc>
          <w:tcPr>
            <w:tcW w:w="595" w:type="pct"/>
            <w:noWrap w:val="0"/>
            <w:vAlign w:val="center"/>
          </w:tcPr>
          <w:p w14:paraId="1FC12679">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桶装饮用水</w:t>
            </w:r>
          </w:p>
        </w:tc>
        <w:tc>
          <w:tcPr>
            <w:tcW w:w="595" w:type="pct"/>
            <w:noWrap w:val="0"/>
            <w:vAlign w:val="center"/>
          </w:tcPr>
          <w:p w14:paraId="2FAF4FE4">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kern w:val="0"/>
                <w:sz w:val="24"/>
                <w:szCs w:val="24"/>
                <w:lang w:bidi="ar"/>
              </w:rPr>
              <w:t>山泉水</w:t>
            </w:r>
            <w:r>
              <w:rPr>
                <w:rFonts w:hint="eastAsia" w:ascii="仿宋" w:hAnsi="仿宋" w:eastAsia="仿宋" w:cs="仿宋"/>
                <w:bCs/>
                <w:kern w:val="0"/>
                <w:sz w:val="24"/>
                <w:szCs w:val="24"/>
                <w:lang w:val="en-US" w:eastAsia="zh-CN" w:bidi="ar"/>
              </w:rPr>
              <w:t>/</w:t>
            </w:r>
            <w:r>
              <w:rPr>
                <w:rFonts w:hint="eastAsia" w:ascii="仿宋" w:hAnsi="仿宋" w:eastAsia="仿宋" w:cs="仿宋"/>
                <w:bCs/>
                <w:kern w:val="0"/>
                <w:sz w:val="24"/>
                <w:szCs w:val="24"/>
                <w:lang w:bidi="ar"/>
              </w:rPr>
              <w:t>矿泉水</w:t>
            </w:r>
            <w:r>
              <w:rPr>
                <w:rFonts w:hint="eastAsia" w:ascii="仿宋" w:hAnsi="仿宋" w:eastAsia="仿宋" w:cs="仿宋"/>
                <w:bCs/>
                <w:kern w:val="0"/>
                <w:sz w:val="24"/>
                <w:szCs w:val="24"/>
                <w:lang w:val="en-US" w:eastAsia="zh-CN" w:bidi="ar"/>
              </w:rPr>
              <w:t>/</w:t>
            </w:r>
            <w:r>
              <w:rPr>
                <w:rFonts w:hint="eastAsia" w:ascii="仿宋" w:hAnsi="仿宋" w:eastAsia="仿宋" w:cs="仿宋"/>
                <w:bCs/>
                <w:kern w:val="0"/>
                <w:sz w:val="24"/>
                <w:szCs w:val="24"/>
                <w:lang w:bidi="ar"/>
              </w:rPr>
              <w:t>纯净水</w:t>
            </w:r>
          </w:p>
        </w:tc>
        <w:tc>
          <w:tcPr>
            <w:tcW w:w="881" w:type="pct"/>
            <w:noWrap w:val="0"/>
            <w:vAlign w:val="center"/>
          </w:tcPr>
          <w:p w14:paraId="0C8532BF">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17</w:t>
            </w:r>
            <w:r>
              <w:rPr>
                <w:rFonts w:hint="eastAsia" w:ascii="仿宋" w:hAnsi="仿宋" w:eastAsia="仿宋" w:cs="仿宋"/>
                <w:bCs/>
                <w:sz w:val="24"/>
                <w:szCs w:val="24"/>
                <w:lang w:eastAsia="zh-CN"/>
              </w:rPr>
              <w:t>—</w:t>
            </w:r>
            <w:r>
              <w:rPr>
                <w:rFonts w:hint="eastAsia" w:ascii="仿宋" w:hAnsi="仿宋" w:eastAsia="仿宋" w:cs="仿宋"/>
                <w:bCs/>
                <w:sz w:val="24"/>
                <w:szCs w:val="24"/>
              </w:rPr>
              <w:t>18.9L/桶</w:t>
            </w:r>
          </w:p>
        </w:tc>
        <w:tc>
          <w:tcPr>
            <w:tcW w:w="614" w:type="pct"/>
            <w:noWrap w:val="0"/>
            <w:vAlign w:val="center"/>
          </w:tcPr>
          <w:p w14:paraId="5FBA762D">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桶</w:t>
            </w:r>
          </w:p>
        </w:tc>
        <w:tc>
          <w:tcPr>
            <w:tcW w:w="1270" w:type="pct"/>
            <w:vMerge w:val="restart"/>
            <w:noWrap w:val="0"/>
            <w:vAlign w:val="center"/>
          </w:tcPr>
          <w:p w14:paraId="522412CE">
            <w:pPr>
              <w:pStyle w:val="2"/>
              <w:spacing w:line="400" w:lineRule="exact"/>
              <w:rPr>
                <w:rFonts w:hint="eastAsia" w:ascii="仿宋" w:hAnsi="仿宋" w:eastAsia="仿宋" w:cs="仿宋"/>
                <w:bCs/>
                <w:sz w:val="24"/>
                <w:szCs w:val="24"/>
              </w:rPr>
            </w:pPr>
            <w:r>
              <w:rPr>
                <w:rFonts w:hint="eastAsia" w:ascii="仿宋" w:hAnsi="仿宋" w:eastAsia="仿宋" w:cs="仿宋"/>
                <w:b/>
                <w:bCs/>
                <w:sz w:val="24"/>
                <w:szCs w:val="24"/>
              </w:rPr>
              <w:t>★</w:t>
            </w:r>
            <w:r>
              <w:rPr>
                <w:rFonts w:hint="eastAsia" w:ascii="仿宋" w:hAnsi="仿宋" w:eastAsia="仿宋" w:cs="仿宋"/>
                <w:bCs/>
                <w:kern w:val="0"/>
                <w:sz w:val="24"/>
                <w:szCs w:val="24"/>
              </w:rPr>
              <w:t>符合《饮用天然矿泉水》GB8537-2018</w:t>
            </w:r>
            <w:r>
              <w:rPr>
                <w:rFonts w:hint="eastAsia" w:ascii="仿宋" w:hAnsi="仿宋" w:eastAsia="仿宋" w:cs="仿宋"/>
                <w:bCs/>
                <w:kern w:val="0"/>
                <w:sz w:val="24"/>
                <w:szCs w:val="24"/>
                <w:lang w:val="en-US" w:eastAsia="zh-CN"/>
              </w:rPr>
              <w:t>或</w:t>
            </w:r>
            <w:r>
              <w:rPr>
                <w:rFonts w:hint="eastAsia" w:ascii="仿宋" w:hAnsi="仿宋" w:eastAsia="仿宋" w:cs="仿宋"/>
                <w:bCs/>
                <w:kern w:val="0"/>
                <w:sz w:val="24"/>
                <w:szCs w:val="24"/>
              </w:rPr>
              <w:t>《食品安全国家标准包装饮用水》</w:t>
            </w:r>
            <w:r>
              <w:rPr>
                <w:rFonts w:hint="eastAsia" w:ascii="仿宋" w:hAnsi="仿宋" w:eastAsia="仿宋" w:cs="仿宋"/>
                <w:sz w:val="24"/>
                <w:szCs w:val="24"/>
              </w:rPr>
              <w:t>GB19298-2014</w:t>
            </w:r>
            <w:r>
              <w:rPr>
                <w:rFonts w:hint="eastAsia" w:ascii="仿宋" w:hAnsi="仿宋" w:eastAsia="仿宋" w:cs="仿宋"/>
                <w:bCs/>
                <w:kern w:val="0"/>
                <w:sz w:val="24"/>
                <w:szCs w:val="24"/>
              </w:rPr>
              <w:t>标准以及国家颁发其他</w:t>
            </w:r>
            <w:r>
              <w:rPr>
                <w:rFonts w:hint="eastAsia" w:ascii="仿宋" w:hAnsi="仿宋" w:eastAsia="仿宋" w:cs="仿宋"/>
                <w:bCs/>
                <w:sz w:val="24"/>
                <w:szCs w:val="24"/>
              </w:rPr>
              <w:t>的包装饮用水食品安全国家标准</w:t>
            </w:r>
            <w:r>
              <w:rPr>
                <w:rFonts w:hint="eastAsia" w:ascii="仿宋" w:hAnsi="仿宋" w:eastAsia="仿宋" w:cs="仿宋"/>
                <w:bCs/>
                <w:sz w:val="24"/>
                <w:szCs w:val="24"/>
                <w:u w:val="single"/>
              </w:rPr>
              <w:t>。</w:t>
            </w:r>
          </w:p>
        </w:tc>
        <w:tc>
          <w:tcPr>
            <w:tcW w:w="647" w:type="pct"/>
            <w:noWrap w:val="0"/>
            <w:vAlign w:val="center"/>
          </w:tcPr>
          <w:p w14:paraId="16291D8F">
            <w:pPr>
              <w:widowControl/>
              <w:spacing w:line="400" w:lineRule="exact"/>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90%</w:t>
            </w:r>
          </w:p>
        </w:tc>
      </w:tr>
      <w:tr w14:paraId="4A3B8E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3" w:hRule="atLeast"/>
        </w:trPr>
        <w:tc>
          <w:tcPr>
            <w:tcW w:w="394" w:type="pct"/>
            <w:noWrap w:val="0"/>
            <w:vAlign w:val="center"/>
          </w:tcPr>
          <w:p w14:paraId="1871D4D3">
            <w:pPr>
              <w:widowControl/>
              <w:spacing w:line="400" w:lineRule="exact"/>
              <w:jc w:val="center"/>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2</w:t>
            </w:r>
          </w:p>
        </w:tc>
        <w:tc>
          <w:tcPr>
            <w:tcW w:w="595" w:type="pct"/>
            <w:noWrap w:val="0"/>
            <w:vAlign w:val="center"/>
          </w:tcPr>
          <w:p w14:paraId="1E84885D">
            <w:pPr>
              <w:widowControl/>
              <w:spacing w:line="400" w:lineRule="exact"/>
              <w:jc w:val="center"/>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瓶装饮用水</w:t>
            </w:r>
          </w:p>
        </w:tc>
        <w:tc>
          <w:tcPr>
            <w:tcW w:w="595" w:type="pct"/>
            <w:noWrap w:val="0"/>
            <w:vAlign w:val="center"/>
          </w:tcPr>
          <w:p w14:paraId="4585DF43">
            <w:pPr>
              <w:widowControl/>
              <w:spacing w:line="400" w:lineRule="exact"/>
              <w:jc w:val="center"/>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山泉水</w:t>
            </w:r>
            <w:r>
              <w:rPr>
                <w:rFonts w:hint="eastAsia" w:ascii="仿宋" w:hAnsi="仿宋" w:eastAsia="仿宋" w:cs="仿宋"/>
                <w:bCs/>
                <w:kern w:val="0"/>
                <w:sz w:val="24"/>
                <w:szCs w:val="24"/>
                <w:lang w:val="en-US" w:eastAsia="zh-CN" w:bidi="ar"/>
              </w:rPr>
              <w:t>/</w:t>
            </w:r>
            <w:r>
              <w:rPr>
                <w:rFonts w:hint="eastAsia" w:ascii="仿宋" w:hAnsi="仿宋" w:eastAsia="仿宋" w:cs="仿宋"/>
                <w:bCs/>
                <w:kern w:val="0"/>
                <w:sz w:val="24"/>
                <w:szCs w:val="24"/>
                <w:lang w:bidi="ar"/>
              </w:rPr>
              <w:t>矿泉水</w:t>
            </w:r>
            <w:r>
              <w:rPr>
                <w:rFonts w:hint="eastAsia" w:ascii="仿宋" w:hAnsi="仿宋" w:eastAsia="仿宋" w:cs="仿宋"/>
                <w:bCs/>
                <w:kern w:val="0"/>
                <w:sz w:val="24"/>
                <w:szCs w:val="24"/>
                <w:lang w:val="en-US" w:eastAsia="zh-CN" w:bidi="ar"/>
              </w:rPr>
              <w:t>/</w:t>
            </w:r>
            <w:r>
              <w:rPr>
                <w:rFonts w:hint="eastAsia" w:ascii="仿宋" w:hAnsi="仿宋" w:eastAsia="仿宋" w:cs="仿宋"/>
                <w:bCs/>
                <w:kern w:val="0"/>
                <w:sz w:val="24"/>
                <w:szCs w:val="24"/>
                <w:lang w:bidi="ar"/>
              </w:rPr>
              <w:t>纯净水</w:t>
            </w:r>
          </w:p>
        </w:tc>
        <w:tc>
          <w:tcPr>
            <w:tcW w:w="881" w:type="pct"/>
            <w:noWrap w:val="0"/>
            <w:vAlign w:val="center"/>
          </w:tcPr>
          <w:p w14:paraId="53D053DB">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4.5</w:t>
            </w:r>
            <w:r>
              <w:rPr>
                <w:rFonts w:hint="eastAsia" w:ascii="仿宋" w:hAnsi="仿宋" w:eastAsia="仿宋" w:cs="仿宋"/>
                <w:bCs/>
                <w:sz w:val="24"/>
                <w:szCs w:val="24"/>
                <w:lang w:eastAsia="zh-CN"/>
              </w:rPr>
              <w:t>—</w:t>
            </w:r>
            <w:r>
              <w:rPr>
                <w:rFonts w:hint="eastAsia" w:ascii="仿宋" w:hAnsi="仿宋" w:eastAsia="仿宋" w:cs="仿宋"/>
                <w:bCs/>
                <w:sz w:val="24"/>
                <w:szCs w:val="24"/>
              </w:rPr>
              <w:t>5.2L/瓶，4瓶一箱</w:t>
            </w:r>
          </w:p>
        </w:tc>
        <w:tc>
          <w:tcPr>
            <w:tcW w:w="614" w:type="pct"/>
            <w:noWrap w:val="0"/>
            <w:vAlign w:val="center"/>
          </w:tcPr>
          <w:p w14:paraId="43E5E3A4">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箱</w:t>
            </w:r>
          </w:p>
        </w:tc>
        <w:tc>
          <w:tcPr>
            <w:tcW w:w="1270" w:type="pct"/>
            <w:vMerge w:val="continue"/>
            <w:noWrap w:val="0"/>
            <w:vAlign w:val="center"/>
          </w:tcPr>
          <w:p w14:paraId="77470F18">
            <w:pPr>
              <w:widowControl/>
              <w:spacing w:line="400" w:lineRule="exact"/>
              <w:jc w:val="center"/>
              <w:textAlignment w:val="center"/>
              <w:rPr>
                <w:rFonts w:hint="eastAsia" w:ascii="仿宋" w:hAnsi="仿宋" w:eastAsia="仿宋" w:cs="仿宋"/>
                <w:bCs/>
                <w:kern w:val="0"/>
                <w:sz w:val="24"/>
                <w:szCs w:val="24"/>
              </w:rPr>
            </w:pPr>
          </w:p>
        </w:tc>
        <w:tc>
          <w:tcPr>
            <w:tcW w:w="647" w:type="pct"/>
            <w:noWrap w:val="0"/>
            <w:vAlign w:val="center"/>
          </w:tcPr>
          <w:p w14:paraId="40232FCE">
            <w:pPr>
              <w:widowControl/>
              <w:spacing w:line="400" w:lineRule="exact"/>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3%</w:t>
            </w:r>
          </w:p>
        </w:tc>
      </w:tr>
      <w:tr w14:paraId="01710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203" w:hRule="atLeast"/>
        </w:trPr>
        <w:tc>
          <w:tcPr>
            <w:tcW w:w="394" w:type="pct"/>
            <w:noWrap w:val="0"/>
            <w:vAlign w:val="center"/>
          </w:tcPr>
          <w:p w14:paraId="7B8A3891">
            <w:pPr>
              <w:widowControl/>
              <w:spacing w:line="400" w:lineRule="exact"/>
              <w:jc w:val="center"/>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3</w:t>
            </w:r>
          </w:p>
        </w:tc>
        <w:tc>
          <w:tcPr>
            <w:tcW w:w="595" w:type="pct"/>
            <w:noWrap w:val="0"/>
            <w:vAlign w:val="center"/>
          </w:tcPr>
          <w:p w14:paraId="261DE5A3">
            <w:pPr>
              <w:widowControl/>
              <w:spacing w:line="400" w:lineRule="exact"/>
              <w:jc w:val="center"/>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支装饮用水</w:t>
            </w:r>
          </w:p>
        </w:tc>
        <w:tc>
          <w:tcPr>
            <w:tcW w:w="595" w:type="pct"/>
            <w:noWrap w:val="0"/>
            <w:vAlign w:val="center"/>
          </w:tcPr>
          <w:p w14:paraId="65ED2B54">
            <w:pPr>
              <w:widowControl/>
              <w:spacing w:line="400" w:lineRule="exact"/>
              <w:jc w:val="center"/>
              <w:textAlignment w:val="center"/>
              <w:rPr>
                <w:rFonts w:hint="eastAsia" w:ascii="仿宋" w:hAnsi="仿宋" w:eastAsia="仿宋" w:cs="仿宋"/>
                <w:bCs/>
                <w:kern w:val="0"/>
                <w:sz w:val="24"/>
                <w:szCs w:val="24"/>
                <w:lang w:bidi="ar"/>
              </w:rPr>
            </w:pPr>
            <w:r>
              <w:rPr>
                <w:rFonts w:hint="eastAsia" w:ascii="仿宋" w:hAnsi="仿宋" w:eastAsia="仿宋" w:cs="仿宋"/>
                <w:bCs/>
                <w:kern w:val="0"/>
                <w:sz w:val="24"/>
                <w:szCs w:val="24"/>
                <w:lang w:bidi="ar"/>
              </w:rPr>
              <w:t>山泉水</w:t>
            </w:r>
            <w:r>
              <w:rPr>
                <w:rFonts w:hint="eastAsia" w:ascii="仿宋" w:hAnsi="仿宋" w:eastAsia="仿宋" w:cs="仿宋"/>
                <w:bCs/>
                <w:kern w:val="0"/>
                <w:sz w:val="24"/>
                <w:szCs w:val="24"/>
                <w:lang w:val="en-US" w:eastAsia="zh-CN" w:bidi="ar"/>
              </w:rPr>
              <w:t>/</w:t>
            </w:r>
            <w:r>
              <w:rPr>
                <w:rFonts w:hint="eastAsia" w:ascii="仿宋" w:hAnsi="仿宋" w:eastAsia="仿宋" w:cs="仿宋"/>
                <w:bCs/>
                <w:kern w:val="0"/>
                <w:sz w:val="24"/>
                <w:szCs w:val="24"/>
                <w:lang w:bidi="ar"/>
              </w:rPr>
              <w:t>矿泉水</w:t>
            </w:r>
            <w:r>
              <w:rPr>
                <w:rFonts w:hint="eastAsia" w:ascii="仿宋" w:hAnsi="仿宋" w:eastAsia="仿宋" w:cs="仿宋"/>
                <w:bCs/>
                <w:kern w:val="0"/>
                <w:sz w:val="24"/>
                <w:szCs w:val="24"/>
                <w:lang w:val="en-US" w:eastAsia="zh-CN" w:bidi="ar"/>
              </w:rPr>
              <w:t>/</w:t>
            </w:r>
            <w:r>
              <w:rPr>
                <w:rFonts w:hint="eastAsia" w:ascii="仿宋" w:hAnsi="仿宋" w:eastAsia="仿宋" w:cs="仿宋"/>
                <w:bCs/>
                <w:kern w:val="0"/>
                <w:sz w:val="24"/>
                <w:szCs w:val="24"/>
                <w:lang w:bidi="ar"/>
              </w:rPr>
              <w:t>纯净水</w:t>
            </w:r>
          </w:p>
        </w:tc>
        <w:tc>
          <w:tcPr>
            <w:tcW w:w="881" w:type="pct"/>
            <w:noWrap w:val="0"/>
            <w:vAlign w:val="center"/>
          </w:tcPr>
          <w:p w14:paraId="11EB000C">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350</w:t>
            </w:r>
            <w:r>
              <w:rPr>
                <w:rFonts w:hint="eastAsia" w:ascii="仿宋" w:hAnsi="仿宋" w:eastAsia="仿宋" w:cs="仿宋"/>
                <w:bCs/>
                <w:sz w:val="24"/>
                <w:szCs w:val="24"/>
                <w:lang w:eastAsia="zh-CN"/>
              </w:rPr>
              <w:t>—</w:t>
            </w:r>
            <w:r>
              <w:rPr>
                <w:rFonts w:hint="eastAsia" w:ascii="仿宋" w:hAnsi="仿宋" w:eastAsia="仿宋" w:cs="仿宋"/>
                <w:bCs/>
                <w:sz w:val="24"/>
                <w:szCs w:val="24"/>
              </w:rPr>
              <w:t>400ml/支、24支/箱</w:t>
            </w:r>
          </w:p>
        </w:tc>
        <w:tc>
          <w:tcPr>
            <w:tcW w:w="614" w:type="pct"/>
            <w:noWrap w:val="0"/>
            <w:vAlign w:val="center"/>
          </w:tcPr>
          <w:p w14:paraId="121C5292">
            <w:pPr>
              <w:widowControl/>
              <w:spacing w:line="400" w:lineRule="exact"/>
              <w:jc w:val="center"/>
              <w:textAlignment w:val="center"/>
              <w:rPr>
                <w:rFonts w:hint="eastAsia" w:ascii="仿宋" w:hAnsi="仿宋" w:eastAsia="仿宋" w:cs="仿宋"/>
                <w:bCs/>
                <w:sz w:val="24"/>
                <w:szCs w:val="24"/>
              </w:rPr>
            </w:pPr>
            <w:r>
              <w:rPr>
                <w:rFonts w:hint="eastAsia" w:ascii="仿宋" w:hAnsi="仿宋" w:eastAsia="仿宋" w:cs="仿宋"/>
                <w:bCs/>
                <w:sz w:val="24"/>
                <w:szCs w:val="24"/>
              </w:rPr>
              <w:t>箱</w:t>
            </w:r>
          </w:p>
        </w:tc>
        <w:tc>
          <w:tcPr>
            <w:tcW w:w="1270" w:type="pct"/>
            <w:vMerge w:val="continue"/>
            <w:noWrap w:val="0"/>
            <w:vAlign w:val="center"/>
          </w:tcPr>
          <w:p w14:paraId="762F3766">
            <w:pPr>
              <w:widowControl/>
              <w:spacing w:line="400" w:lineRule="exact"/>
              <w:jc w:val="center"/>
              <w:textAlignment w:val="center"/>
              <w:rPr>
                <w:rFonts w:hint="eastAsia" w:ascii="仿宋" w:hAnsi="仿宋" w:eastAsia="仿宋" w:cs="仿宋"/>
                <w:bCs/>
                <w:kern w:val="0"/>
                <w:sz w:val="24"/>
                <w:szCs w:val="24"/>
              </w:rPr>
            </w:pPr>
          </w:p>
        </w:tc>
        <w:tc>
          <w:tcPr>
            <w:tcW w:w="647" w:type="pct"/>
            <w:noWrap w:val="0"/>
            <w:vAlign w:val="center"/>
          </w:tcPr>
          <w:p w14:paraId="2BDBC8A5">
            <w:pPr>
              <w:widowControl/>
              <w:spacing w:line="400" w:lineRule="exact"/>
              <w:jc w:val="center"/>
              <w:textAlignment w:val="center"/>
              <w:rPr>
                <w:rFonts w:hint="eastAsia" w:ascii="仿宋" w:hAnsi="仿宋" w:eastAsia="仿宋" w:cs="仿宋"/>
                <w:bCs/>
                <w:kern w:val="0"/>
                <w:sz w:val="24"/>
                <w:szCs w:val="24"/>
              </w:rPr>
            </w:pPr>
            <w:r>
              <w:rPr>
                <w:rFonts w:hint="eastAsia" w:ascii="仿宋" w:hAnsi="仿宋" w:eastAsia="仿宋" w:cs="仿宋"/>
                <w:bCs/>
                <w:kern w:val="0"/>
                <w:sz w:val="24"/>
                <w:szCs w:val="24"/>
              </w:rPr>
              <w:t>7%</w:t>
            </w:r>
          </w:p>
        </w:tc>
      </w:tr>
    </w:tbl>
    <w:p w14:paraId="1E4038CC">
      <w:pPr>
        <w:numPr>
          <w:ilvl w:val="255"/>
          <w:numId w:val="0"/>
        </w:numPr>
        <w:spacing w:line="360" w:lineRule="auto"/>
        <w:ind w:firstLine="480" w:firstLineChars="200"/>
        <w:rPr>
          <w:rFonts w:hint="eastAsia" w:ascii="仿宋" w:hAnsi="仿宋" w:eastAsia="仿宋" w:cs="仿宋"/>
          <w:color w:val="000000"/>
          <w:kern w:val="0"/>
          <w:sz w:val="24"/>
          <w:szCs w:val="24"/>
          <w:highlight w:val="none"/>
          <w:lang w:bidi="ar"/>
        </w:rPr>
      </w:pPr>
      <w:r>
        <w:rPr>
          <w:rFonts w:hint="eastAsia" w:ascii="仿宋" w:hAnsi="仿宋" w:eastAsia="仿宋" w:cs="仿宋"/>
          <w:color w:val="000000"/>
          <w:kern w:val="0"/>
          <w:sz w:val="24"/>
          <w:szCs w:val="24"/>
          <w:highlight w:val="none"/>
          <w:lang w:bidi="ar"/>
        </w:rPr>
        <w:t>此价格包括货物的货物费、运输费、人工费、保险费、各种税费、验收费、售后服务费及合同实施过程中的应预见和不可预见费用等完成合同规定责任和义务、达到合同目的的一切费用。所有价格变动的风险均由</w:t>
      </w:r>
      <w:r>
        <w:rPr>
          <w:rFonts w:hint="eastAsia" w:ascii="仿宋" w:hAnsi="仿宋" w:eastAsia="仿宋" w:cs="仿宋"/>
          <w:color w:val="000000"/>
          <w:kern w:val="0"/>
          <w:sz w:val="24"/>
          <w:szCs w:val="24"/>
          <w:highlight w:val="none"/>
          <w:lang w:val="en-US" w:eastAsia="zh-CN" w:bidi="ar"/>
        </w:rPr>
        <w:t>中标供应商</w:t>
      </w:r>
      <w:r>
        <w:rPr>
          <w:rFonts w:hint="eastAsia" w:ascii="仿宋" w:hAnsi="仿宋" w:eastAsia="仿宋" w:cs="仿宋"/>
          <w:color w:val="000000"/>
          <w:kern w:val="0"/>
          <w:sz w:val="24"/>
          <w:szCs w:val="24"/>
          <w:highlight w:val="none"/>
          <w:lang w:bidi="ar"/>
        </w:rPr>
        <w:t>承担，</w:t>
      </w:r>
      <w:r>
        <w:rPr>
          <w:rFonts w:hint="eastAsia" w:ascii="仿宋" w:hAnsi="仿宋" w:eastAsia="仿宋" w:cs="仿宋"/>
          <w:color w:val="000000"/>
          <w:kern w:val="0"/>
          <w:sz w:val="24"/>
          <w:szCs w:val="24"/>
          <w:highlight w:val="none"/>
          <w:lang w:val="en-US" w:eastAsia="zh-CN" w:bidi="ar"/>
        </w:rPr>
        <w:t>采购人</w:t>
      </w:r>
      <w:r>
        <w:rPr>
          <w:rFonts w:hint="eastAsia" w:ascii="仿宋" w:hAnsi="仿宋" w:eastAsia="仿宋" w:cs="仿宋"/>
          <w:color w:val="000000"/>
          <w:kern w:val="0"/>
          <w:sz w:val="24"/>
          <w:szCs w:val="24"/>
          <w:highlight w:val="none"/>
          <w:lang w:bidi="ar"/>
        </w:rPr>
        <w:t>不需再向</w:t>
      </w:r>
      <w:r>
        <w:rPr>
          <w:rFonts w:hint="eastAsia" w:ascii="仿宋" w:hAnsi="仿宋" w:eastAsia="仿宋" w:cs="仿宋"/>
          <w:color w:val="000000"/>
          <w:kern w:val="0"/>
          <w:sz w:val="24"/>
          <w:szCs w:val="24"/>
          <w:highlight w:val="none"/>
          <w:lang w:val="en-US" w:eastAsia="zh-CN" w:bidi="ar"/>
        </w:rPr>
        <w:t>中标供应商</w:t>
      </w:r>
      <w:r>
        <w:rPr>
          <w:rFonts w:hint="eastAsia" w:ascii="仿宋" w:hAnsi="仿宋" w:eastAsia="仿宋" w:cs="仿宋"/>
          <w:color w:val="000000"/>
          <w:kern w:val="0"/>
          <w:sz w:val="24"/>
          <w:szCs w:val="24"/>
          <w:highlight w:val="none"/>
          <w:lang w:bidi="ar"/>
        </w:rPr>
        <w:t>支付任何其他费用。</w:t>
      </w:r>
    </w:p>
    <w:p w14:paraId="5A8FA892">
      <w:pPr>
        <w:numPr>
          <w:ilvl w:val="255"/>
          <w:numId w:val="0"/>
        </w:numPr>
        <w:spacing w:line="360" w:lineRule="auto"/>
        <w:ind w:firstLine="480" w:firstLineChars="200"/>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eastAsia="zh-CN" w:bidi="ar"/>
        </w:rPr>
        <w:t>合同期限：暂定一年期</w:t>
      </w:r>
    </w:p>
    <w:p w14:paraId="38E1DC15">
      <w:pPr>
        <w:numPr>
          <w:ilvl w:val="255"/>
          <w:numId w:val="0"/>
        </w:numPr>
        <w:spacing w:line="360" w:lineRule="auto"/>
        <w:ind w:firstLine="480" w:firstLineChars="200"/>
        <w:rPr>
          <w:rFonts w:hint="eastAsia" w:ascii="仿宋" w:hAnsi="仿宋" w:eastAsia="仿宋" w:cs="仿宋"/>
          <w:color w:val="000000"/>
          <w:kern w:val="0"/>
          <w:sz w:val="24"/>
          <w:szCs w:val="24"/>
          <w:highlight w:val="none"/>
          <w:lang w:eastAsia="zh-CN" w:bidi="ar"/>
        </w:rPr>
      </w:pPr>
      <w:r>
        <w:rPr>
          <w:rFonts w:hint="eastAsia" w:ascii="仿宋" w:hAnsi="仿宋" w:eastAsia="仿宋" w:cs="仿宋"/>
          <w:color w:val="000000"/>
          <w:kern w:val="0"/>
          <w:sz w:val="24"/>
          <w:szCs w:val="24"/>
          <w:highlight w:val="none"/>
          <w:lang w:eastAsia="zh-CN" w:bidi="ar"/>
        </w:rPr>
        <w:t>合同预算金额：暂定45万元</w:t>
      </w:r>
      <w:bookmarkStart w:id="0" w:name="_GoBack"/>
      <w:bookmarkEnd w:id="0"/>
    </w:p>
    <w:p w14:paraId="415E1E0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二、交货方式</w:t>
      </w:r>
    </w:p>
    <w:p w14:paraId="5490C11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中标供应商送货到采购人仓库或采购人指定地点，由采购人指定的仓库人员在送货单上签收确认。各科室和饮水点的饮用水配送由采购人自行安排人员负责。</w:t>
      </w:r>
    </w:p>
    <w:p w14:paraId="215DA0F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三、服务要求和处罚要求</w:t>
      </w:r>
    </w:p>
    <w:p w14:paraId="7FB0344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1.在采购人单位内部已确定了桶装饮用水仓库，由采购人的配送人员于每日早上根据采购人的采购的订单配送，确保采购人各部门和科室每天的正常饮用水需求。</w:t>
      </w:r>
    </w:p>
    <w:p w14:paraId="15C37C92">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中标供应商拫据采购人要求，确保在采购人订单下达后24小时内保质保量送达采购人指定仓库，由采购人指定的仓库人员在送货单上签收确认。由中标供应商派工作人员到医院负责整理仓库的桶装水，保证先入先出、有货周转，保证提供给采购人的产品符合国家桶装水生产标准和饮用水标准和保证提供给采购人的产品永远新鲜。由采购人工作人员对中标供应商交付的货物进行验货确认，如中标供应商延期供货、供货数量不足或产品质量未达到合同及订单要求的，中标供应商按本条第9款的规定承担全部责任。如遇紧急情况双方可另行约定送货时间。</w:t>
      </w:r>
    </w:p>
    <w:p w14:paraId="72654D7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3.中标供应商聘用的送水人员应有较强责任心，形象良好，举止文明，服务态度良好。中标供应商应定期在采购人进行服务质量的调查，并设有服务质量投诉或建议电话：          ，力求做到保质保量地完成桶装水供应的任务。中标供应商在送货期间发生的人身损害、财产损失责任均由中标供应商承担，采购人不承担任何责任。</w:t>
      </w:r>
    </w:p>
    <w:p w14:paraId="02FB337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4.中标供应商的经营产品全部为厂家直供，提供给采购人的饮用水为全新未使用的货物，符合国家桶装水生产标准和饮用水标准。</w:t>
      </w:r>
    </w:p>
    <w:p w14:paraId="798A11A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5.如出库时发现距质保期不满一周的饮用水，中标供应商必须免费更换，中标供应商拒绝更换的，采购人有权要求中标供应商每次承担2000元作为违约金。</w:t>
      </w:r>
    </w:p>
    <w:p w14:paraId="62F565F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6.中标供应商每季度为采购人所有饮水机免费清洗、消毒一次，并做好采购人各科室签名确认的记录并交由采购人存档。</w:t>
      </w:r>
    </w:p>
    <w:p w14:paraId="70A0019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7.如接到任何关于质量和配送方面的投诉，中标供应商应在1小时及以内时间答复和在12小时内安排工作人员到场处理并解决。非采购人的人为原因而出现产品质量问题，由中标供应商负责包换或包退，并承担上述情况产生的一切费用。</w:t>
      </w:r>
    </w:p>
    <w:p w14:paraId="3FE33BF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8.出现争议的情况下，采购人可提请第三方检测机构检测，检测费用由中标供应商垫付，检测结果完全符合国家或行业相关标准，则由采购人承担相关检测费用；检测结果不符合或不全符合国家或行业相关标准，则中标供应商承担相关检测费用。</w:t>
      </w:r>
    </w:p>
    <w:p w14:paraId="7204947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9.除不可抗力的因素之外，如中标供应商未能按时按量送水到达采购人指定地点，每次应向采购人支付1000元作为违约金；中标供应商交付的产品、货物出现质量问题的，每次应向中标供应商支付2000元作为违约金；在服务期间内，中标供应商出现被投诉情况的，经证实为有效投诉的，每次应向采购人支付300元作为违约金。服务期间内，中标供应商出现上述违约情形累计3次的，采购人有权单方面解除本合同。</w:t>
      </w:r>
    </w:p>
    <w:p w14:paraId="7D29E596">
      <w:pPr>
        <w:numPr>
          <w:ilvl w:val="255"/>
          <w:numId w:val="0"/>
        </w:numPr>
        <w:spacing w:line="360" w:lineRule="auto"/>
        <w:ind w:firstLine="480" w:firstLineChars="200"/>
        <w:rPr>
          <w:rFonts w:hint="default" w:ascii="仿宋" w:hAnsi="仿宋" w:eastAsia="仿宋" w:cs="仿宋"/>
          <w:spacing w:val="0"/>
          <w:sz w:val="24"/>
          <w:szCs w:val="24"/>
          <w:lang w:val="en-US" w:eastAsia="zh-CN"/>
        </w:rPr>
      </w:pPr>
      <w:r>
        <w:rPr>
          <w:rFonts w:hint="eastAsia" w:ascii="仿宋" w:hAnsi="仿宋" w:eastAsia="仿宋" w:cs="仿宋"/>
          <w:spacing w:val="0"/>
          <w:sz w:val="24"/>
          <w:szCs w:val="24"/>
          <w:lang w:val="en-US" w:eastAsia="zh-CN"/>
        </w:rPr>
        <w:t>10.中标供应商的桶装水水桶使用年限不得超过60个月，否则</w:t>
      </w:r>
      <w:r>
        <w:rPr>
          <w:rFonts w:hint="eastAsia" w:ascii="仿宋" w:hAnsi="仿宋" w:eastAsia="仿宋" w:cs="仿宋"/>
          <w:spacing w:val="0"/>
          <w:sz w:val="24"/>
          <w:szCs w:val="24"/>
          <w:lang w:eastAsia="zh-CN"/>
        </w:rPr>
        <w:t>每</w:t>
      </w:r>
      <w:r>
        <w:rPr>
          <w:rFonts w:hint="eastAsia" w:ascii="仿宋" w:hAnsi="仿宋" w:eastAsia="仿宋" w:cs="仿宋"/>
          <w:spacing w:val="0"/>
          <w:sz w:val="24"/>
          <w:szCs w:val="24"/>
          <w:lang w:val="en-US" w:eastAsia="zh-CN"/>
        </w:rPr>
        <w:t>发现一次</w:t>
      </w:r>
      <w:r>
        <w:rPr>
          <w:rFonts w:hint="eastAsia" w:ascii="仿宋" w:hAnsi="仿宋" w:eastAsia="仿宋" w:cs="仿宋"/>
          <w:spacing w:val="0"/>
          <w:sz w:val="24"/>
          <w:szCs w:val="24"/>
          <w:lang w:eastAsia="zh-CN"/>
        </w:rPr>
        <w:t>向采购人支付1000元作为违约金。服务期间内，中标供应商出现上述违约情形累计3次的，采购人有权单方面解除本合同。</w:t>
      </w:r>
    </w:p>
    <w:p w14:paraId="25B23B0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四、食品安全要求</w:t>
      </w:r>
    </w:p>
    <w:p w14:paraId="48240BE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严格依照《中华人民共和国食品安全法》等法律法规从事食品经营活动，不超出经营范围从事食品经营活动，不得超出原合同允许经营的品牌和食品类别。对社会和公众负责，诚信经营，保证食品安全，接受社会监督，承担社会责任。</w:t>
      </w:r>
    </w:p>
    <w:p w14:paraId="3FFB403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2.具备食品生产和流通的资格，并向采购人提供《中华人民共和国食品安全法》规定企业所需具备食品生产和流通的资质和食品合格等的证明文件资料，必须按照市场监督部门等单位相关规定办理相关许可证。</w:t>
      </w:r>
    </w:p>
    <w:p w14:paraId="5935A71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中标供应商所采购的食品原料和流通的食品符合《中华人民共和国食品安全法》的规定。中标供应商所提供的食品要符合国家或行业的生产标准、经营标准、行业标准、检验技术质量标准、质量检测标准、环保标准及产品出厂标准等。</w:t>
      </w:r>
    </w:p>
    <w:p w14:paraId="5837828C">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 xml:space="preserve">4.所生产经营食品品种、数量相适应的食品原料处理和食品加工、包装、贮存等场地，符合下列要求： </w:t>
      </w:r>
    </w:p>
    <w:p w14:paraId="3060466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（一）生产、经营场所与有毒、有害场所以及其他污染源保持规定距离；</w:t>
      </w:r>
    </w:p>
    <w:p w14:paraId="28EFE500">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（二）生产、经营场所与个人生活空间分开；</w:t>
      </w:r>
    </w:p>
    <w:p w14:paraId="53F1BAA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（三）生产、经营场所保持内部环境整洁。</w:t>
      </w:r>
    </w:p>
    <w:p w14:paraId="275E596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5.食品的贮存、运输和装卸，符合下列要求：</w:t>
      </w:r>
    </w:p>
    <w:p w14:paraId="7944899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（一）贮存、运输和装卸食品的容器、工具和设备安全、无害、保持清洁；</w:t>
      </w:r>
    </w:p>
    <w:p w14:paraId="12CF6C1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（二）不将食品与有毒、有害物品一同贮存、运输和装卸。</w:t>
      </w:r>
    </w:p>
    <w:p w14:paraId="58CB8DDA">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6.对中标供应商产品发生的食品安全事件或投诉，中标供应商会第一时间通知和配合采购人，做出相应措施，迅速妥善处理，并承担因中标供应商提供的食品存在安全质量问题的全部责任和赔偿，采购人有权单方解除合作并处罚中标供应商肆万元的违约金。如中标供应商供应的产品被采购人查出不符合上述要求或经相关部门确认（检测费用由中标供应商承担）后，中标供应商愿按照¥3000元（大写：叁仟元整）/次向中标供应商承担违约责任，违约金自查出/确认之日起5日内支付至采购人账户。</w:t>
      </w:r>
    </w:p>
    <w:p w14:paraId="4B9661E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五、双方权利和义务</w:t>
      </w:r>
    </w:p>
    <w:p w14:paraId="2F2A3F11">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1.中标供应商保证水质符合国家饮用水标准要求。</w:t>
      </w:r>
    </w:p>
    <w:p w14:paraId="03C2B50F">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2.周转空桶由中标供应商借给采购人使用，并进行登记。</w:t>
      </w:r>
    </w:p>
    <w:p w14:paraId="2D04404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3.采购人有义务保管好中标供应商所借空桶，双方合同终止时，采购人按登记使用数量如数归还周转桶，如有损失按30元/个赔偿给中标供应商。</w:t>
      </w:r>
    </w:p>
    <w:p w14:paraId="291C9C7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4.如采购人发现中标供应商提供的货物有异味、杂质、渗漏，标签破坏，包装破损等，采购人有权要求中标供应商免费退货、换货，由此产生的费用均由中标供应商承担。</w:t>
      </w:r>
    </w:p>
    <w:p w14:paraId="1F300683">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六、结算方式</w:t>
      </w:r>
    </w:p>
    <w:p w14:paraId="3006D37C">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由甲乙双方经办人核实上个月的实际用水量后采购人在收到中标供应商等额正式发票后于60天内（如遇休息日或节假日，付款日期顺延）以转账的方式将货款划到中标供应商指定的银行账户：</w:t>
      </w:r>
    </w:p>
    <w:p w14:paraId="4927D0E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户名：</w:t>
      </w:r>
    </w:p>
    <w:p w14:paraId="7E32E928">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账号：</w:t>
      </w:r>
    </w:p>
    <w:p w14:paraId="15E60C3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开户行：</w:t>
      </w:r>
    </w:p>
    <w:p w14:paraId="34F63B05">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七、履约保证金</w:t>
      </w:r>
    </w:p>
    <w:p w14:paraId="66CF1012">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收取比例：5%，说明：1、合同签订后15个工作日内，中标供应商将履约保证金（合同价的5%）以银行保函或转账方式办理，并向采购人提供银行保函或转账凭证，待项目保修期结束后，中标供应商自行办理退还履约保证金（无息）手续（若提供银行保函，银行保函的有效日期直到质保期结束）；若中标供应商在合同履行期间违约，采购人有权从履约担保中扣除违约金，履约担保金额不足以扣除的部分采购人可向中标供应商进一步索赔。若中标供应商不履行与采购人订立的合同的或者项目未能通过最终验收的，采购人将不予退还履约保证金或不解除履约保函。2、中标供应商没有提交履约保证金的，采购人有权取消其中标资格，中标供应商应当对采购人的损失承担赔偿责任。</w:t>
      </w:r>
    </w:p>
    <w:p w14:paraId="6C6412E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八、中标供应商的违约责任</w:t>
      </w:r>
    </w:p>
    <w:p w14:paraId="46EC720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1.中标供应商有以下情形经查实，采购人有权终止合同，扣除履约保证金，视其违法、违规、违约行为的严重性，要求其赔偿采购人经济损失，并追究其法律责任，情形包括但不限于下列各项：</w:t>
      </w:r>
    </w:p>
    <w:p w14:paraId="7CB862C9">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（1）中标供应商未能有效履行合同，包括不能按质、按量、按时完成和提供货物及服务，每发生 1 次扣除履约保证金人民币 500 元（伍佰元整）；</w:t>
      </w:r>
    </w:p>
    <w:p w14:paraId="1C6D1063">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（2）中标供应商有弄虚作假情况，串通、贿赂采购人工作人员或其他利益相关方，以及其它关于本项目的严重违法、违规、违约行为，包含但不限于：向采购人工作人员虚开发票等行为；</w:t>
      </w:r>
    </w:p>
    <w:p w14:paraId="1F28A34D">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中标供应商如未经采购人允许，私自调换产品、降低产品等级标准或提供存在质量缺陷产品，以少充多、以劣充优、以假充真、货不对板等行为的。中标供应商所交付货物的型号、规格、数量和质量不符合本项目采购文件、响应文件或本合同规定标准的，采购人有权拒收，中标供应商除应依照采购人要求退换外，还须向采购人支付不符合合同规定标准的货物总价10%的违约金。</w:t>
      </w:r>
    </w:p>
    <w:p w14:paraId="4204A99E">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2.中标供应商所交货物种类、数量、规格、质量和技术性能等不符合合同规定的，由中标供应商负责包换，并承担调换、退货而支付的实际费用。</w:t>
      </w:r>
    </w:p>
    <w:p w14:paraId="01B5357B">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3.中标供应商未能按合同要求提供服务，每次罚款1000元违约金。</w:t>
      </w:r>
    </w:p>
    <w:p w14:paraId="50FED900">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4.中标供应商未按合同约定将货物运输至指定地点的，中标供应商须每日以逾期交货部分货款总额4‰的标准向采购人交纳违约金，累计不超过逾期交货部分货款总额的6%。</w:t>
      </w:r>
    </w:p>
    <w:p w14:paraId="302C8896">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5.中标供应商所供货物必须权属清楚无争议，且不得侵害任何第三方的知识产权等在先权利，否则中标供应商除应依照采购人要求退还并支付相应货物总价10%的违约金，还应赔偿采购人因此遭受的损失。</w:t>
      </w:r>
    </w:p>
    <w:p w14:paraId="43A61A24">
      <w:pPr>
        <w:numPr>
          <w:ilvl w:val="255"/>
          <w:numId w:val="0"/>
        </w:numPr>
        <w:spacing w:line="360" w:lineRule="auto"/>
        <w:ind w:firstLine="480" w:firstLineChars="200"/>
        <w:rPr>
          <w:rFonts w:hint="eastAsia" w:ascii="仿宋" w:hAnsi="仿宋" w:eastAsia="仿宋" w:cs="仿宋"/>
          <w:spacing w:val="0"/>
          <w:sz w:val="24"/>
          <w:szCs w:val="24"/>
          <w:lang w:eastAsia="zh-CN"/>
        </w:rPr>
      </w:pPr>
      <w:r>
        <w:rPr>
          <w:rFonts w:hint="eastAsia" w:ascii="仿宋" w:hAnsi="仿宋" w:eastAsia="仿宋" w:cs="仿宋"/>
          <w:spacing w:val="0"/>
          <w:sz w:val="24"/>
          <w:szCs w:val="24"/>
          <w:lang w:eastAsia="zh-CN"/>
        </w:rPr>
        <w:t>6.采购人的损失包括但不限于因中标供应商违约导致采购人遭受的第三方索赔、处罚，采购人另行采购本合同约定产品或另行委托第三方提供本合同约定服务增加的费用，采购人为解决相关问题支付的诉讼费、仲裁费、律师费、鉴定费、评估费、保全费等费用。采购人有权从本合同金额中扣除中标供应商违约金和采购人损失费用。</w:t>
      </w:r>
    </w:p>
    <w:sectPr>
      <w:pgSz w:w="11906" w:h="16838"/>
      <w:pgMar w:top="1440" w:right="1287" w:bottom="1378" w:left="12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3"/>
  <w:embedSystemFonts/>
  <w:bordersDoNotSurroundHeader w:val="0"/>
  <w:bordersDoNotSurroundFooter w:val="0"/>
  <w:trackRevisions w:val="1"/>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c3NjY0YTY4Y2U4NDg0M2E4MWJkOTVlNDc3MjU2MGYifQ=="/>
  </w:docVars>
  <w:rsids>
    <w:rsidRoot w:val="08CB6FC4"/>
    <w:rsid w:val="00136767"/>
    <w:rsid w:val="002A3235"/>
    <w:rsid w:val="002C6E5B"/>
    <w:rsid w:val="00595246"/>
    <w:rsid w:val="007A5061"/>
    <w:rsid w:val="00B458B3"/>
    <w:rsid w:val="00BD287B"/>
    <w:rsid w:val="00DA485F"/>
    <w:rsid w:val="00DC7C1D"/>
    <w:rsid w:val="01161381"/>
    <w:rsid w:val="017240DE"/>
    <w:rsid w:val="02C24BF1"/>
    <w:rsid w:val="02F474A0"/>
    <w:rsid w:val="06053772"/>
    <w:rsid w:val="060C1AC2"/>
    <w:rsid w:val="06840264"/>
    <w:rsid w:val="06994FD7"/>
    <w:rsid w:val="069B7C33"/>
    <w:rsid w:val="06F86757"/>
    <w:rsid w:val="08023127"/>
    <w:rsid w:val="08BE1C2B"/>
    <w:rsid w:val="08CB6FC4"/>
    <w:rsid w:val="08E04023"/>
    <w:rsid w:val="092E2FE0"/>
    <w:rsid w:val="0AD675EE"/>
    <w:rsid w:val="0ADB2CF4"/>
    <w:rsid w:val="0B610D74"/>
    <w:rsid w:val="0B852C90"/>
    <w:rsid w:val="0C1C6680"/>
    <w:rsid w:val="0C346B5F"/>
    <w:rsid w:val="0C9E323E"/>
    <w:rsid w:val="0CAF4438"/>
    <w:rsid w:val="0EB126E9"/>
    <w:rsid w:val="0F274759"/>
    <w:rsid w:val="0FD32136"/>
    <w:rsid w:val="105B79DD"/>
    <w:rsid w:val="124F5E1C"/>
    <w:rsid w:val="14FE77A1"/>
    <w:rsid w:val="15843B54"/>
    <w:rsid w:val="169F72CB"/>
    <w:rsid w:val="16A62408"/>
    <w:rsid w:val="17AF1790"/>
    <w:rsid w:val="181B7D69"/>
    <w:rsid w:val="18CD6371"/>
    <w:rsid w:val="19C957FA"/>
    <w:rsid w:val="1A1E49AB"/>
    <w:rsid w:val="1A223074"/>
    <w:rsid w:val="1BA86C22"/>
    <w:rsid w:val="1D0B7468"/>
    <w:rsid w:val="1D70376F"/>
    <w:rsid w:val="1E014264"/>
    <w:rsid w:val="1E330014"/>
    <w:rsid w:val="1E7B6896"/>
    <w:rsid w:val="1F367FAE"/>
    <w:rsid w:val="1FD75D28"/>
    <w:rsid w:val="20471F39"/>
    <w:rsid w:val="215F5FD5"/>
    <w:rsid w:val="21A460DD"/>
    <w:rsid w:val="22253F61"/>
    <w:rsid w:val="2265761B"/>
    <w:rsid w:val="22A005D2"/>
    <w:rsid w:val="22A85759"/>
    <w:rsid w:val="22DD3655"/>
    <w:rsid w:val="22E23150"/>
    <w:rsid w:val="230706D2"/>
    <w:rsid w:val="244F122E"/>
    <w:rsid w:val="245416F5"/>
    <w:rsid w:val="24764DA5"/>
    <w:rsid w:val="24FE5B05"/>
    <w:rsid w:val="254C2D14"/>
    <w:rsid w:val="28937771"/>
    <w:rsid w:val="289E0A26"/>
    <w:rsid w:val="291476A5"/>
    <w:rsid w:val="294D204F"/>
    <w:rsid w:val="2B0F45C8"/>
    <w:rsid w:val="2B595843"/>
    <w:rsid w:val="2BAF32DD"/>
    <w:rsid w:val="2D291EC1"/>
    <w:rsid w:val="2DD85145"/>
    <w:rsid w:val="2E086552"/>
    <w:rsid w:val="2F260132"/>
    <w:rsid w:val="2F6824F8"/>
    <w:rsid w:val="30CE0A81"/>
    <w:rsid w:val="3146720F"/>
    <w:rsid w:val="31A215E1"/>
    <w:rsid w:val="31AA504A"/>
    <w:rsid w:val="334B0167"/>
    <w:rsid w:val="33D07D59"/>
    <w:rsid w:val="34E46AC5"/>
    <w:rsid w:val="35120A01"/>
    <w:rsid w:val="359758E5"/>
    <w:rsid w:val="36056F65"/>
    <w:rsid w:val="361F7F47"/>
    <w:rsid w:val="365816B9"/>
    <w:rsid w:val="370A729F"/>
    <w:rsid w:val="37BF1123"/>
    <w:rsid w:val="384358B1"/>
    <w:rsid w:val="3949409C"/>
    <w:rsid w:val="39583D4B"/>
    <w:rsid w:val="39893797"/>
    <w:rsid w:val="3BB32D4D"/>
    <w:rsid w:val="3BE92C13"/>
    <w:rsid w:val="3C37572C"/>
    <w:rsid w:val="3CB925E5"/>
    <w:rsid w:val="3D8449A1"/>
    <w:rsid w:val="3DBA4867"/>
    <w:rsid w:val="3E4466D5"/>
    <w:rsid w:val="3E8E6393"/>
    <w:rsid w:val="3EC97E6D"/>
    <w:rsid w:val="3F550388"/>
    <w:rsid w:val="3FB452E6"/>
    <w:rsid w:val="408B470A"/>
    <w:rsid w:val="40F761A9"/>
    <w:rsid w:val="41682EF1"/>
    <w:rsid w:val="41DE1D3C"/>
    <w:rsid w:val="423579D1"/>
    <w:rsid w:val="435819B7"/>
    <w:rsid w:val="43EB7685"/>
    <w:rsid w:val="446C73BC"/>
    <w:rsid w:val="448B69A4"/>
    <w:rsid w:val="450D1D8B"/>
    <w:rsid w:val="45390767"/>
    <w:rsid w:val="453B382E"/>
    <w:rsid w:val="45DC4237"/>
    <w:rsid w:val="4651388E"/>
    <w:rsid w:val="46D81671"/>
    <w:rsid w:val="46E60C47"/>
    <w:rsid w:val="47856709"/>
    <w:rsid w:val="49543A58"/>
    <w:rsid w:val="4A471230"/>
    <w:rsid w:val="4BCA55B8"/>
    <w:rsid w:val="4C716A38"/>
    <w:rsid w:val="4C9D2166"/>
    <w:rsid w:val="4D2E492A"/>
    <w:rsid w:val="4E8C3CA1"/>
    <w:rsid w:val="4EE90FF2"/>
    <w:rsid w:val="51053BF3"/>
    <w:rsid w:val="511D0F3D"/>
    <w:rsid w:val="51D20869"/>
    <w:rsid w:val="5287651C"/>
    <w:rsid w:val="533B5996"/>
    <w:rsid w:val="53422EDD"/>
    <w:rsid w:val="53B06098"/>
    <w:rsid w:val="53EA0E7E"/>
    <w:rsid w:val="54181E8F"/>
    <w:rsid w:val="55D3478A"/>
    <w:rsid w:val="55FB7373"/>
    <w:rsid w:val="5641344B"/>
    <w:rsid w:val="56B0015D"/>
    <w:rsid w:val="570A3D11"/>
    <w:rsid w:val="57EF277A"/>
    <w:rsid w:val="598002BB"/>
    <w:rsid w:val="59C363FA"/>
    <w:rsid w:val="5AC42429"/>
    <w:rsid w:val="5B9139B7"/>
    <w:rsid w:val="5BAB43B7"/>
    <w:rsid w:val="5D9F42DA"/>
    <w:rsid w:val="5E4E6BDA"/>
    <w:rsid w:val="5E932412"/>
    <w:rsid w:val="5EA20CD3"/>
    <w:rsid w:val="5EDF4BCF"/>
    <w:rsid w:val="5F25422C"/>
    <w:rsid w:val="6058186C"/>
    <w:rsid w:val="62326812"/>
    <w:rsid w:val="62B24547"/>
    <w:rsid w:val="63D2107D"/>
    <w:rsid w:val="64634A61"/>
    <w:rsid w:val="646F78AA"/>
    <w:rsid w:val="664803B2"/>
    <w:rsid w:val="67281F92"/>
    <w:rsid w:val="678C2521"/>
    <w:rsid w:val="683704D6"/>
    <w:rsid w:val="683815D2"/>
    <w:rsid w:val="686925AE"/>
    <w:rsid w:val="68FE11FC"/>
    <w:rsid w:val="69643755"/>
    <w:rsid w:val="6A102F95"/>
    <w:rsid w:val="6AB733D0"/>
    <w:rsid w:val="6ABE0CB5"/>
    <w:rsid w:val="6BAF67DE"/>
    <w:rsid w:val="6C5850C7"/>
    <w:rsid w:val="6C784BBF"/>
    <w:rsid w:val="6D193E61"/>
    <w:rsid w:val="6DF13761"/>
    <w:rsid w:val="71082F11"/>
    <w:rsid w:val="718524BB"/>
    <w:rsid w:val="721D0945"/>
    <w:rsid w:val="728C5ACB"/>
    <w:rsid w:val="737F4A29"/>
    <w:rsid w:val="73AD5CF9"/>
    <w:rsid w:val="74FD10F8"/>
    <w:rsid w:val="758331B5"/>
    <w:rsid w:val="759F78C3"/>
    <w:rsid w:val="75EF43A6"/>
    <w:rsid w:val="76085468"/>
    <w:rsid w:val="764F3097"/>
    <w:rsid w:val="78511348"/>
    <w:rsid w:val="788348F2"/>
    <w:rsid w:val="78BB6EBE"/>
    <w:rsid w:val="78D36201"/>
    <w:rsid w:val="7A24483B"/>
    <w:rsid w:val="7BA15D4D"/>
    <w:rsid w:val="7BE14791"/>
    <w:rsid w:val="7BF0285E"/>
    <w:rsid w:val="7C547044"/>
    <w:rsid w:val="7C6E1023"/>
    <w:rsid w:val="7D07647A"/>
    <w:rsid w:val="7E751B09"/>
    <w:rsid w:val="7F363046"/>
    <w:rsid w:val="7F69341C"/>
    <w:rsid w:val="7FAE7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1"/>
    <w:pPr>
      <w:widowControl w:val="0"/>
    </w:pPr>
    <w:rPr>
      <w:rFonts w:asciiTheme="minorHAnsi" w:hAnsiTheme="minorHAnsi" w:eastAsiaTheme="minorHAnsi" w:cstheme="minorBidi"/>
      <w:sz w:val="22"/>
      <w:szCs w:val="22"/>
      <w:lang w:val="en-US" w:eastAsia="en-US" w:bidi="ar-SA"/>
    </w:rPr>
  </w:style>
  <w:style w:type="character" w:default="1" w:styleId="9">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2">
    <w:name w:val="annotation text"/>
    <w:basedOn w:val="1"/>
    <w:autoRedefine/>
    <w:qFormat/>
    <w:uiPriority w:val="99"/>
  </w:style>
  <w:style w:type="paragraph" w:styleId="3">
    <w:name w:val="Body Text"/>
    <w:basedOn w:val="1"/>
    <w:autoRedefine/>
    <w:qFormat/>
    <w:uiPriority w:val="0"/>
    <w:pPr>
      <w:spacing w:line="360" w:lineRule="auto"/>
    </w:pPr>
    <w:rPr>
      <w:szCs w:val="20"/>
    </w:rPr>
  </w:style>
  <w:style w:type="paragraph" w:styleId="4">
    <w:name w:val="Plain Text"/>
    <w:basedOn w:val="1"/>
    <w:autoRedefine/>
    <w:unhideWhenUsed/>
    <w:qFormat/>
    <w:uiPriority w:val="0"/>
    <w:rPr>
      <w:rFonts w:ascii="宋体" w:hAnsi="Courier New"/>
      <w:szCs w:val="20"/>
    </w:rPr>
  </w:style>
  <w:style w:type="paragraph" w:styleId="5">
    <w:name w:val="Balloon Text"/>
    <w:basedOn w:val="1"/>
    <w:link w:val="14"/>
    <w:autoRedefine/>
    <w:qFormat/>
    <w:uiPriority w:val="0"/>
    <w:rPr>
      <w:sz w:val="18"/>
      <w:szCs w:val="18"/>
    </w:rPr>
  </w:style>
  <w:style w:type="paragraph" w:styleId="6">
    <w:name w:val="footer"/>
    <w:basedOn w:val="1"/>
    <w:link w:val="16"/>
    <w:autoRedefine/>
    <w:qFormat/>
    <w:uiPriority w:val="0"/>
    <w:pPr>
      <w:tabs>
        <w:tab w:val="center" w:pos="4153"/>
        <w:tab w:val="right" w:pos="8306"/>
      </w:tabs>
      <w:snapToGrid w:val="0"/>
    </w:pPr>
    <w:rPr>
      <w:sz w:val="18"/>
      <w:szCs w:val="18"/>
    </w:rPr>
  </w:style>
  <w:style w:type="paragraph" w:styleId="7">
    <w:name w:val="header"/>
    <w:basedOn w:val="1"/>
    <w:link w:val="15"/>
    <w:autoRedefine/>
    <w:qFormat/>
    <w:uiPriority w:val="0"/>
    <w:pPr>
      <w:pBdr>
        <w:bottom w:val="single" w:color="auto" w:sz="6" w:space="1"/>
      </w:pBdr>
      <w:tabs>
        <w:tab w:val="center" w:pos="4153"/>
        <w:tab w:val="right" w:pos="8306"/>
      </w:tabs>
      <w:snapToGrid w:val="0"/>
      <w:jc w:val="center"/>
    </w:pPr>
    <w:rPr>
      <w:sz w:val="18"/>
      <w:szCs w:val="18"/>
    </w:rPr>
  </w:style>
  <w:style w:type="character" w:styleId="10">
    <w:name w:val="Hyperlink"/>
    <w:basedOn w:val="9"/>
    <w:qFormat/>
    <w:uiPriority w:val="0"/>
    <w:rPr>
      <w:color w:val="0000FF"/>
      <w:u w:val="single"/>
    </w:rPr>
  </w:style>
  <w:style w:type="paragraph" w:customStyle="1" w:styleId="11">
    <w:name w:val="表格文字"/>
    <w:basedOn w:val="1"/>
    <w:qFormat/>
    <w:uiPriority w:val="0"/>
    <w:pPr>
      <w:spacing w:line="240" w:lineRule="auto"/>
    </w:pPr>
    <w:rPr>
      <w:spacing w:val="10"/>
    </w:rPr>
  </w:style>
  <w:style w:type="paragraph" w:customStyle="1" w:styleId="12">
    <w:name w:val="Table Paragraph"/>
    <w:basedOn w:val="1"/>
    <w:autoRedefine/>
    <w:qFormat/>
    <w:uiPriority w:val="1"/>
  </w:style>
  <w:style w:type="paragraph" w:styleId="13">
    <w:name w:val="List Paragraph"/>
    <w:basedOn w:val="1"/>
    <w:autoRedefine/>
    <w:qFormat/>
    <w:uiPriority w:val="99"/>
    <w:pPr>
      <w:ind w:firstLine="420" w:firstLineChars="200"/>
    </w:pPr>
  </w:style>
  <w:style w:type="character" w:customStyle="1" w:styleId="14">
    <w:name w:val="批注框文本 字符"/>
    <w:basedOn w:val="9"/>
    <w:link w:val="5"/>
    <w:autoRedefine/>
    <w:qFormat/>
    <w:uiPriority w:val="0"/>
    <w:rPr>
      <w:rFonts w:asciiTheme="minorHAnsi" w:hAnsiTheme="minorHAnsi" w:eastAsiaTheme="minorHAnsi" w:cstheme="minorBidi"/>
      <w:sz w:val="18"/>
      <w:szCs w:val="18"/>
      <w:lang w:eastAsia="en-US"/>
    </w:rPr>
  </w:style>
  <w:style w:type="character" w:customStyle="1" w:styleId="15">
    <w:name w:val="页眉 字符"/>
    <w:basedOn w:val="9"/>
    <w:link w:val="7"/>
    <w:autoRedefine/>
    <w:qFormat/>
    <w:uiPriority w:val="0"/>
    <w:rPr>
      <w:rFonts w:asciiTheme="minorHAnsi" w:hAnsiTheme="minorHAnsi" w:eastAsiaTheme="minorHAnsi" w:cstheme="minorBidi"/>
      <w:sz w:val="18"/>
      <w:szCs w:val="18"/>
      <w:lang w:eastAsia="en-US"/>
    </w:rPr>
  </w:style>
  <w:style w:type="character" w:customStyle="1" w:styleId="16">
    <w:name w:val="页脚 字符"/>
    <w:basedOn w:val="9"/>
    <w:link w:val="6"/>
    <w:autoRedefine/>
    <w:qFormat/>
    <w:uiPriority w:val="0"/>
    <w:rPr>
      <w:rFonts w:asciiTheme="minorHAnsi" w:hAnsiTheme="minorHAnsi" w:eastAsiaTheme="minorHAnsi" w:cstheme="minorBidi"/>
      <w:sz w:val="18"/>
      <w:szCs w:val="18"/>
      <w:lang w:eastAsia="en-US"/>
    </w:rPr>
  </w:style>
  <w:style w:type="paragraph" w:customStyle="1" w:styleId="17">
    <w:name w:val="null3"/>
    <w:hidden/>
    <w:qFormat/>
    <w:uiPriority w:val="0"/>
    <w:rPr>
      <w:rFonts w:hint="eastAsia" w:asciiTheme="minorHAnsi" w:hAnsiTheme="minorHAnsi" w:eastAsiaTheme="minorEastAsia" w:cstheme="minorBidi"/>
      <w:lang w:val="en-US" w:eastAsia="zh-Hans" w:bidi="ar-SA"/>
    </w:rPr>
  </w:style>
  <w:style w:type="character" w:customStyle="1" w:styleId="18">
    <w:name w:val="font31"/>
    <w:qFormat/>
    <w:uiPriority w:val="0"/>
    <w:rPr>
      <w:rFonts w:hint="default"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3741</Words>
  <Characters>3850</Characters>
  <Lines>93</Lines>
  <Paragraphs>26</Paragraphs>
  <TotalTime>2</TotalTime>
  <ScaleCrop>false</ScaleCrop>
  <LinksUpToDate>false</LinksUpToDate>
  <CharactersWithSpaces>3865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2023-10-24T07:33:00Z</dcterms:created>
  <dc:creator>KK</dc:creator>
  <cp:lastModifiedBy>健超</cp:lastModifiedBy>
  <cp:lastPrinted>2023-12-15T02:46:00Z</cp:lastPrinted>
  <dcterms:modified xsi:type="dcterms:W3CDTF">2025-01-21T07:47:01Z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73E140350CE74D6487AB8AA0A573BEE3_11</vt:lpwstr>
  </property>
  <property fmtid="{D5CDD505-2E9C-101B-9397-08002B2CF9AE}" pid="4" name="KSOTemplateDocerSaveRecord">
    <vt:lpwstr>eyJoZGlkIjoiYzc3NjY0YTY4Y2U4NDg0M2E4MWJkOTVlNDc3MjU2MGYiLCJ1c2VySWQiOiIzNTMyNjkyODgifQ==</vt:lpwstr>
  </property>
</Properties>
</file>