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2F76">
      <w:pPr>
        <w:numPr>
          <w:ilvl w:val="255"/>
          <w:numId w:val="0"/>
        </w:numPr>
        <w:spacing w:line="360" w:lineRule="auto"/>
        <w:ind w:left="0"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附件1</w:t>
      </w:r>
    </w:p>
    <w:p w14:paraId="434346A8">
      <w:pPr>
        <w:numPr>
          <w:ilvl w:val="255"/>
          <w:numId w:val="0"/>
        </w:numPr>
        <w:spacing w:line="360" w:lineRule="auto"/>
        <w:ind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用户需求书</w:t>
      </w:r>
    </w:p>
    <w:p w14:paraId="27510B04">
      <w:pPr>
        <w:numPr>
          <w:ilvl w:val="0"/>
          <w:numId w:val="1"/>
        </w:numPr>
        <w:ind w:firstLine="482"/>
        <w:rPr>
          <w:rFonts w:hint="eastAsia" w:ascii="仿宋" w:hAnsi="仿宋" w:eastAsia="仿宋" w:cs="仿宋"/>
          <w:color w:val="auto"/>
          <w:kern w:val="11"/>
          <w:sz w:val="24"/>
          <w:szCs w:val="24"/>
        </w:rPr>
      </w:pPr>
      <w:r>
        <w:rPr>
          <w:rFonts w:hint="eastAsia" w:ascii="仿宋" w:hAnsi="仿宋" w:eastAsia="仿宋" w:cs="仿宋"/>
          <w:color w:val="auto"/>
          <w:kern w:val="11"/>
          <w:sz w:val="24"/>
          <w:szCs w:val="24"/>
        </w:rPr>
        <w:t>项目内容、价格</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701"/>
        <w:gridCol w:w="2175"/>
        <w:gridCol w:w="1482"/>
        <w:gridCol w:w="1138"/>
        <w:gridCol w:w="1138"/>
      </w:tblGrid>
      <w:tr w14:paraId="417F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000" w:type="pct"/>
            <w:vMerge w:val="restart"/>
            <w:noWrap w:val="0"/>
            <w:vAlign w:val="center"/>
          </w:tcPr>
          <w:p w14:paraId="3F049F1D">
            <w:pPr>
              <w:spacing w:line="40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采购内容名称</w:t>
            </w:r>
          </w:p>
        </w:tc>
        <w:tc>
          <w:tcPr>
            <w:tcW w:w="2806" w:type="pct"/>
            <w:gridSpan w:val="3"/>
            <w:noWrap w:val="0"/>
            <w:vAlign w:val="center"/>
          </w:tcPr>
          <w:p w14:paraId="1D801DE1">
            <w:pPr>
              <w:spacing w:line="40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具体参数要求</w:t>
            </w:r>
          </w:p>
        </w:tc>
        <w:tc>
          <w:tcPr>
            <w:tcW w:w="596" w:type="pct"/>
            <w:vMerge w:val="restart"/>
            <w:noWrap w:val="0"/>
            <w:vAlign w:val="center"/>
          </w:tcPr>
          <w:p w14:paraId="475003CC">
            <w:pPr>
              <w:spacing w:line="40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颜色</w:t>
            </w:r>
          </w:p>
        </w:tc>
        <w:tc>
          <w:tcPr>
            <w:tcW w:w="596" w:type="pct"/>
            <w:vMerge w:val="restart"/>
            <w:noWrap w:val="0"/>
            <w:vAlign w:val="center"/>
          </w:tcPr>
          <w:p w14:paraId="31B27833">
            <w:pPr>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数量</w:t>
            </w:r>
          </w:p>
        </w:tc>
      </w:tr>
      <w:tr w14:paraId="11DF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0" w:type="pct"/>
            <w:vMerge w:val="continue"/>
            <w:noWrap w:val="0"/>
            <w:vAlign w:val="center"/>
          </w:tcPr>
          <w:p w14:paraId="588AFFAF">
            <w:pPr>
              <w:spacing w:line="400" w:lineRule="exact"/>
              <w:jc w:val="center"/>
              <w:rPr>
                <w:rFonts w:hint="eastAsia" w:ascii="仿宋" w:hAnsi="仿宋" w:eastAsia="仿宋" w:cs="仿宋"/>
                <w:b/>
                <w:bCs/>
                <w:color w:val="auto"/>
                <w:sz w:val="24"/>
                <w:szCs w:val="24"/>
              </w:rPr>
            </w:pPr>
          </w:p>
        </w:tc>
        <w:tc>
          <w:tcPr>
            <w:tcW w:w="891" w:type="pct"/>
            <w:noWrap w:val="0"/>
            <w:vAlign w:val="center"/>
          </w:tcPr>
          <w:p w14:paraId="004EEBB1">
            <w:pPr>
              <w:widowControl/>
              <w:spacing w:line="40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鞋底</w:t>
            </w:r>
          </w:p>
        </w:tc>
        <w:tc>
          <w:tcPr>
            <w:tcW w:w="1139" w:type="pct"/>
            <w:noWrap w:val="0"/>
            <w:vAlign w:val="center"/>
          </w:tcPr>
          <w:p w14:paraId="40A0A2A3">
            <w:pPr>
              <w:widowControl/>
              <w:spacing w:line="40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鞋面鞋里</w:t>
            </w:r>
          </w:p>
        </w:tc>
        <w:tc>
          <w:tcPr>
            <w:tcW w:w="776" w:type="pct"/>
            <w:noWrap w:val="0"/>
            <w:vAlign w:val="center"/>
          </w:tcPr>
          <w:p w14:paraId="3363E26B">
            <w:pPr>
              <w:widowControl/>
              <w:spacing w:line="40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鞋垫</w:t>
            </w:r>
          </w:p>
        </w:tc>
        <w:tc>
          <w:tcPr>
            <w:tcW w:w="596" w:type="pct"/>
            <w:vMerge w:val="continue"/>
            <w:noWrap w:val="0"/>
            <w:vAlign w:val="center"/>
          </w:tcPr>
          <w:p w14:paraId="232D2E34">
            <w:pPr>
              <w:spacing w:line="400" w:lineRule="exact"/>
              <w:jc w:val="center"/>
              <w:rPr>
                <w:rFonts w:hint="eastAsia" w:ascii="仿宋" w:hAnsi="仿宋" w:eastAsia="仿宋" w:cs="仿宋"/>
                <w:color w:val="auto"/>
                <w:sz w:val="24"/>
                <w:szCs w:val="24"/>
              </w:rPr>
            </w:pPr>
          </w:p>
        </w:tc>
        <w:tc>
          <w:tcPr>
            <w:tcW w:w="596" w:type="pct"/>
            <w:vMerge w:val="continue"/>
            <w:tcBorders/>
            <w:noWrap w:val="0"/>
            <w:vAlign w:val="center"/>
          </w:tcPr>
          <w:p w14:paraId="4E181F77">
            <w:pPr>
              <w:spacing w:line="400" w:lineRule="exact"/>
              <w:jc w:val="center"/>
              <w:rPr>
                <w:rFonts w:hint="eastAsia" w:ascii="仿宋" w:hAnsi="仿宋" w:eastAsia="仿宋" w:cs="仿宋"/>
                <w:color w:val="auto"/>
                <w:sz w:val="24"/>
                <w:szCs w:val="24"/>
              </w:rPr>
            </w:pPr>
          </w:p>
        </w:tc>
      </w:tr>
      <w:tr w14:paraId="075B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000" w:type="pct"/>
            <w:noWrap w:val="0"/>
            <w:vAlign w:val="center"/>
          </w:tcPr>
          <w:p w14:paraId="3DA0ADFD">
            <w:pPr>
              <w:widowControl/>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护士鞋</w:t>
            </w:r>
          </w:p>
          <w:p w14:paraId="45E6D066">
            <w:pPr>
              <w:widowControl/>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（男款38#-46#、女款34#-42#、非绑带）</w:t>
            </w:r>
          </w:p>
        </w:tc>
        <w:tc>
          <w:tcPr>
            <w:tcW w:w="891" w:type="pct"/>
            <w:noWrap w:val="0"/>
            <w:vAlign w:val="center"/>
          </w:tcPr>
          <w:p w14:paraId="2F13F9F5">
            <w:pPr>
              <w:widowControl/>
              <w:spacing w:line="40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高弹性EVA鞋底，高度3.0+0.5cm，特殊止滑刻纹，橡胶材质，超轻，弹性佳，耐磨，止滑，静音。</w:t>
            </w:r>
          </w:p>
        </w:tc>
        <w:tc>
          <w:tcPr>
            <w:tcW w:w="1139" w:type="pct"/>
            <w:noWrap w:val="0"/>
            <w:vAlign w:val="center"/>
          </w:tcPr>
          <w:p w14:paraId="21B76F7B">
            <w:pPr>
              <w:widowControl/>
              <w:spacing w:line="40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鞋面采用优质头层软牛皮，柔软、透气、结实、不松面，易清洁；鞋里采用优质猪皮头层内里，经抗维生物处理，防臭、防霉、防菌、绿色环保。</w:t>
            </w:r>
          </w:p>
        </w:tc>
        <w:tc>
          <w:tcPr>
            <w:tcW w:w="776" w:type="pct"/>
            <w:noWrap w:val="0"/>
            <w:vAlign w:val="center"/>
          </w:tcPr>
          <w:p w14:paraId="35D033E3">
            <w:pPr>
              <w:spacing w:after="160"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鞋垫采用猪皮垫面乳胶鞋垫，防臭、防霉、防菌。可抽出清洗、晾晒。</w:t>
            </w:r>
          </w:p>
        </w:tc>
        <w:tc>
          <w:tcPr>
            <w:tcW w:w="596" w:type="pct"/>
            <w:noWrap w:val="0"/>
            <w:vAlign w:val="center"/>
          </w:tcPr>
          <w:p w14:paraId="22F51728">
            <w:pPr>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白色</w:t>
            </w:r>
          </w:p>
        </w:tc>
        <w:tc>
          <w:tcPr>
            <w:tcW w:w="596" w:type="pct"/>
            <w:noWrap w:val="0"/>
            <w:vAlign w:val="center"/>
          </w:tcPr>
          <w:p w14:paraId="47626EE4">
            <w:pPr>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1743双</w:t>
            </w:r>
          </w:p>
        </w:tc>
      </w:tr>
    </w:tbl>
    <w:p w14:paraId="3393A032">
      <w:pPr>
        <w:numPr>
          <w:ilvl w:val="0"/>
          <w:numId w:val="0"/>
        </w:numPr>
        <w:snapToGrid w:val="0"/>
        <w:ind w:firstLine="480" w:firstLineChars="200"/>
        <w:rPr>
          <w:rFonts w:hint="eastAsia" w:ascii="仿宋" w:hAnsi="仿宋" w:eastAsia="仿宋" w:cs="仿宋"/>
          <w:color w:val="auto"/>
          <w:sz w:val="24"/>
          <w:szCs w:val="24"/>
        </w:rPr>
      </w:pPr>
      <w:bookmarkStart w:id="0" w:name="_Hlk121145754"/>
      <w:r>
        <w:rPr>
          <w:rFonts w:hint="eastAsia" w:ascii="仿宋" w:hAnsi="仿宋" w:eastAsia="仿宋" w:cs="仿宋"/>
          <w:color w:val="auto"/>
          <w:sz w:val="24"/>
          <w:szCs w:val="24"/>
        </w:rPr>
        <w:t>▲</w:t>
      </w:r>
      <w:bookmarkEnd w:id="0"/>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性能：防滑</w:t>
      </w:r>
      <w:r>
        <w:rPr>
          <w:rFonts w:hint="eastAsia" w:ascii="仿宋" w:hAnsi="仿宋" w:eastAsia="仿宋" w:cs="仿宋"/>
          <w:color w:val="auto"/>
          <w:sz w:val="24"/>
          <w:szCs w:val="24"/>
          <w:lang w:val="en-US" w:eastAsia="zh-CN"/>
        </w:rPr>
        <w:t>防跌，</w:t>
      </w:r>
      <w:r>
        <w:rPr>
          <w:rFonts w:hint="eastAsia" w:ascii="仿宋" w:hAnsi="仿宋" w:eastAsia="仿宋" w:cs="仿宋"/>
          <w:color w:val="auto"/>
          <w:sz w:val="24"/>
          <w:szCs w:val="24"/>
        </w:rPr>
        <w:t>舒适耐用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无噪音，能配合临床护士日常工作强度。</w:t>
      </w:r>
    </w:p>
    <w:p w14:paraId="6D5E5178">
      <w:pPr>
        <w:numPr>
          <w:ilvl w:val="0"/>
          <w:numId w:val="0"/>
        </w:numPr>
        <w:snapToGrid w:val="0"/>
        <w:ind w:firstLine="480" w:firstLineChars="200"/>
        <w:rPr>
          <w:rFonts w:hint="eastAsia" w:ascii="仿宋" w:hAnsi="仿宋" w:eastAsia="仿宋" w:cs="仿宋"/>
          <w:sz w:val="24"/>
          <w:szCs w:val="24"/>
          <w:lang w:val="en-US" w:eastAsia="zh-CN"/>
        </w:rPr>
      </w:pPr>
      <w:r>
        <w:rPr>
          <w:rFonts w:hint="eastAsia" w:ascii="仿宋" w:hAnsi="仿宋" w:eastAsia="仿宋" w:cs="仿宋"/>
          <w:bCs/>
          <w:color w:val="auto"/>
          <w:kern w:val="11"/>
          <w:sz w:val="24"/>
          <w:szCs w:val="24"/>
          <w:lang w:val="en-US" w:eastAsia="zh-CN"/>
        </w:rPr>
        <w:t>2.</w:t>
      </w:r>
      <w:r>
        <w:rPr>
          <w:rFonts w:hint="eastAsia" w:ascii="仿宋" w:hAnsi="仿宋" w:eastAsia="仿宋" w:cs="仿宋"/>
          <w:bCs/>
          <w:color w:val="auto"/>
          <w:kern w:val="11"/>
          <w:sz w:val="24"/>
          <w:szCs w:val="24"/>
        </w:rPr>
        <w:t>合同总价包括运输保险、售后服务、全额含税发票、合同实施过程中的应预见或不可预见费用及其他相关费用等一切费用。</w:t>
      </w:r>
    </w:p>
    <w:p w14:paraId="0D97E554">
      <w:pPr>
        <w:adjustRightInd w:val="0"/>
        <w:snapToGrid w:val="0"/>
        <w:spacing w:line="360" w:lineRule="auto"/>
        <w:ind w:firstLine="480" w:firstLineChars="200"/>
        <w:rPr>
          <w:rFonts w:hint="eastAsia" w:ascii="仿宋" w:hAnsi="仿宋" w:eastAsia="仿宋" w:cs="仿宋"/>
          <w:bCs/>
          <w:color w:val="auto"/>
          <w:kern w:val="11"/>
          <w:sz w:val="24"/>
          <w:szCs w:val="24"/>
        </w:rPr>
      </w:pPr>
      <w:r>
        <w:rPr>
          <w:rFonts w:hint="eastAsia" w:ascii="仿宋" w:hAnsi="仿宋" w:eastAsia="仿宋" w:cs="仿宋"/>
          <w:bCs/>
          <w:color w:val="auto"/>
          <w:kern w:val="11"/>
          <w:sz w:val="24"/>
          <w:szCs w:val="24"/>
        </w:rPr>
        <w:t>二、其他条款：</w:t>
      </w:r>
    </w:p>
    <w:p w14:paraId="00F68939">
      <w:pPr>
        <w:adjustRightInd w:val="0"/>
        <w:snapToGrid w:val="0"/>
        <w:spacing w:line="360" w:lineRule="auto"/>
        <w:ind w:firstLine="480" w:firstLineChars="200"/>
        <w:rPr>
          <w:rFonts w:hint="eastAsia" w:ascii="仿宋" w:hAnsi="仿宋" w:eastAsia="仿宋" w:cs="仿宋"/>
          <w:bCs/>
          <w:color w:val="auto"/>
          <w:kern w:val="11"/>
          <w:sz w:val="24"/>
          <w:szCs w:val="24"/>
        </w:rPr>
      </w:pPr>
      <w:r>
        <w:rPr>
          <w:rFonts w:hint="eastAsia" w:ascii="仿宋" w:hAnsi="仿宋" w:eastAsia="仿宋" w:cs="仿宋"/>
          <w:color w:val="auto"/>
          <w:kern w:val="11"/>
          <w:sz w:val="24"/>
          <w:szCs w:val="24"/>
        </w:rPr>
        <w:t>1.质量标准参照国家GB/T</w:t>
      </w:r>
      <w:r>
        <w:rPr>
          <w:rFonts w:hint="eastAsia" w:ascii="仿宋" w:hAnsi="仿宋" w:eastAsia="仿宋" w:cs="仿宋"/>
          <w:color w:val="auto"/>
          <w:kern w:val="11"/>
          <w:sz w:val="24"/>
          <w:szCs w:val="24"/>
          <w:lang w:val="en-US" w:eastAsia="zh-CN"/>
        </w:rPr>
        <w:t xml:space="preserve"> 1002</w:t>
      </w:r>
      <w:r>
        <w:rPr>
          <w:rFonts w:hint="eastAsia" w:ascii="仿宋" w:hAnsi="仿宋" w:eastAsia="仿宋" w:cs="仿宋"/>
          <w:color w:val="auto"/>
          <w:kern w:val="11"/>
          <w:sz w:val="24"/>
          <w:szCs w:val="24"/>
        </w:rPr>
        <w:t>-201</w:t>
      </w:r>
      <w:r>
        <w:rPr>
          <w:rFonts w:hint="eastAsia" w:ascii="仿宋" w:hAnsi="仿宋" w:eastAsia="仿宋" w:cs="仿宋"/>
          <w:color w:val="auto"/>
          <w:kern w:val="11"/>
          <w:sz w:val="24"/>
          <w:szCs w:val="24"/>
          <w:lang w:val="en-US" w:eastAsia="zh-CN"/>
        </w:rPr>
        <w:t>5</w:t>
      </w:r>
      <w:r>
        <w:rPr>
          <w:rFonts w:hint="eastAsia" w:ascii="仿宋" w:hAnsi="仿宋" w:eastAsia="仿宋" w:cs="仿宋"/>
          <w:color w:val="auto"/>
          <w:kern w:val="11"/>
          <w:sz w:val="24"/>
          <w:szCs w:val="24"/>
        </w:rPr>
        <w:t>皮</w:t>
      </w:r>
      <w:r>
        <w:rPr>
          <w:rFonts w:hint="eastAsia" w:ascii="仿宋" w:hAnsi="仿宋" w:eastAsia="仿宋" w:cs="仿宋"/>
          <w:bCs/>
          <w:color w:val="auto"/>
          <w:kern w:val="11"/>
          <w:sz w:val="24"/>
          <w:szCs w:val="24"/>
        </w:rPr>
        <w:t>鞋行业标准和轻工行业标准中《QB/T 2955-</w:t>
      </w:r>
      <w:r>
        <w:rPr>
          <w:rFonts w:hint="eastAsia" w:ascii="仿宋" w:hAnsi="仿宋" w:eastAsia="仿宋" w:cs="仿宋"/>
          <w:bCs/>
          <w:color w:val="auto"/>
          <w:kern w:val="11"/>
          <w:sz w:val="24"/>
          <w:szCs w:val="24"/>
          <w:lang w:val="en-US" w:eastAsia="zh-CN"/>
        </w:rPr>
        <w:t>2017</w:t>
      </w:r>
      <w:r>
        <w:rPr>
          <w:rFonts w:hint="eastAsia" w:ascii="仿宋" w:hAnsi="仿宋" w:eastAsia="仿宋" w:cs="仿宋"/>
          <w:bCs/>
          <w:color w:val="auto"/>
          <w:kern w:val="11"/>
          <w:sz w:val="24"/>
          <w:szCs w:val="24"/>
        </w:rPr>
        <w:t>休闲鞋》的生产执行标准制作。</w:t>
      </w:r>
    </w:p>
    <w:p w14:paraId="13631080">
      <w:pPr>
        <w:adjustRightInd w:val="0"/>
        <w:snapToGrid w:val="0"/>
        <w:spacing w:line="360" w:lineRule="auto"/>
        <w:ind w:firstLine="480" w:firstLineChars="200"/>
        <w:rPr>
          <w:rFonts w:hint="eastAsia" w:ascii="仿宋" w:hAnsi="仿宋" w:eastAsia="仿宋" w:cs="仿宋"/>
          <w:bCs/>
          <w:color w:val="auto"/>
          <w:kern w:val="11"/>
          <w:sz w:val="24"/>
          <w:szCs w:val="24"/>
        </w:rPr>
      </w:pPr>
      <w:r>
        <w:rPr>
          <w:rFonts w:hint="eastAsia" w:ascii="仿宋" w:hAnsi="仿宋" w:eastAsia="仿宋" w:cs="仿宋"/>
          <w:bCs/>
          <w:color w:val="auto"/>
          <w:kern w:val="11"/>
          <w:sz w:val="24"/>
          <w:szCs w:val="24"/>
        </w:rPr>
        <w:t>2.货物由</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送到</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单位，一切运输费用由</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承担，并且</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派人员到场协助</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鞋子按科室发放。</w:t>
      </w:r>
    </w:p>
    <w:p w14:paraId="2D2013DF">
      <w:pPr>
        <w:adjustRightInd w:val="0"/>
        <w:snapToGrid w:val="0"/>
        <w:spacing w:line="360" w:lineRule="auto"/>
        <w:ind w:firstLine="480" w:firstLineChars="200"/>
        <w:rPr>
          <w:rFonts w:hint="eastAsia" w:ascii="仿宋" w:hAnsi="仿宋" w:eastAsia="仿宋" w:cs="仿宋"/>
          <w:bCs/>
          <w:color w:val="auto"/>
          <w:kern w:val="11"/>
          <w:sz w:val="24"/>
          <w:szCs w:val="24"/>
        </w:rPr>
      </w:pPr>
      <w:r>
        <w:rPr>
          <w:rFonts w:hint="eastAsia" w:ascii="仿宋" w:hAnsi="仿宋" w:eastAsia="仿宋" w:cs="仿宋"/>
          <w:bCs/>
          <w:color w:val="auto"/>
          <w:kern w:val="11"/>
          <w:sz w:val="24"/>
          <w:szCs w:val="24"/>
        </w:rPr>
        <w:t>3.自</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送货到</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指定地点,</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按合同和订货单在十五日内验收完毕,如有个别尺码,数量问题,十五日内以书面方式通知</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。项目实行分批次进行订货，自</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收到</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订单通知之日起30日内，提交当批次的相应款式及数量。</w:t>
      </w:r>
    </w:p>
    <w:p w14:paraId="757E64F6">
      <w:pPr>
        <w:adjustRightInd w:val="0"/>
        <w:snapToGrid w:val="0"/>
        <w:spacing w:line="360" w:lineRule="auto"/>
        <w:ind w:firstLine="480" w:firstLineChars="200"/>
        <w:rPr>
          <w:rFonts w:hint="eastAsia" w:ascii="仿宋" w:hAnsi="仿宋" w:eastAsia="仿宋" w:cs="仿宋"/>
          <w:bCs/>
          <w:color w:val="auto"/>
          <w:kern w:val="11"/>
          <w:sz w:val="24"/>
          <w:szCs w:val="24"/>
        </w:rPr>
      </w:pPr>
      <w:r>
        <w:rPr>
          <w:rFonts w:hint="eastAsia" w:ascii="仿宋" w:hAnsi="仿宋" w:eastAsia="仿宋" w:cs="仿宋"/>
          <w:bCs/>
          <w:color w:val="auto"/>
          <w:kern w:val="11"/>
          <w:sz w:val="24"/>
          <w:szCs w:val="24"/>
        </w:rPr>
        <w:t>4.质保期一年内实行“三包”：（1）尺码不合，外观污损可调换; （2）开胶、断底、裂面、掉皮</w:t>
      </w:r>
      <w:r>
        <w:rPr>
          <w:rFonts w:hint="eastAsia" w:ascii="仿宋" w:hAnsi="仿宋" w:eastAsia="仿宋" w:cs="仿宋"/>
          <w:bCs/>
          <w:color w:val="auto"/>
          <w:kern w:val="11"/>
          <w:sz w:val="24"/>
          <w:szCs w:val="24"/>
          <w:lang w:eastAsia="zh-CN"/>
        </w:rPr>
        <w:t>、</w:t>
      </w:r>
      <w:bookmarkStart w:id="1" w:name="_GoBack"/>
      <w:r>
        <w:rPr>
          <w:rFonts w:hint="eastAsia" w:ascii="仿宋" w:hAnsi="仿宋" w:eastAsia="仿宋" w:cs="仿宋"/>
          <w:bCs/>
          <w:color w:val="auto"/>
          <w:kern w:val="11"/>
          <w:sz w:val="24"/>
          <w:szCs w:val="24"/>
          <w:highlight w:val="none"/>
          <w:lang w:val="en-US" w:eastAsia="zh-CN"/>
        </w:rPr>
        <w:t>不防滑</w:t>
      </w:r>
      <w:bookmarkEnd w:id="1"/>
      <w:r>
        <w:rPr>
          <w:rFonts w:hint="eastAsia" w:ascii="仿宋" w:hAnsi="仿宋" w:eastAsia="仿宋" w:cs="仿宋"/>
          <w:bCs/>
          <w:color w:val="auto"/>
          <w:kern w:val="11"/>
          <w:sz w:val="24"/>
          <w:szCs w:val="24"/>
        </w:rPr>
        <w:t>等质量由</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在30天内免费调换。响应时间：2小时内电话回访，24小时内上门服务。如果质量、款式及舒适性未能达到</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所提供样板的同等水平，</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有权要求无偿退换，所产生的一切费用由</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全部承担。</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逾期退换的，</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有权单方面解除本合同，要求</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退还不符合质量货物的价款和要求</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承担合同总价的</w:t>
      </w:r>
      <w:r>
        <w:rPr>
          <w:rFonts w:hint="eastAsia" w:ascii="仿宋" w:hAnsi="仿宋" w:eastAsia="仿宋" w:cs="仿宋"/>
          <w:bCs/>
          <w:color w:val="auto"/>
          <w:kern w:val="11"/>
          <w:sz w:val="24"/>
          <w:szCs w:val="24"/>
          <w:lang w:val="en-US" w:eastAsia="zh-CN"/>
        </w:rPr>
        <w:t>10</w:t>
      </w:r>
      <w:r>
        <w:rPr>
          <w:rFonts w:hint="eastAsia" w:ascii="仿宋" w:hAnsi="仿宋" w:eastAsia="仿宋" w:cs="仿宋"/>
          <w:bCs/>
          <w:color w:val="auto"/>
          <w:kern w:val="11"/>
          <w:sz w:val="24"/>
          <w:szCs w:val="24"/>
        </w:rPr>
        <w:t xml:space="preserve">%作为违约金。 </w:t>
      </w:r>
    </w:p>
    <w:p w14:paraId="1C7D3241">
      <w:pPr>
        <w:adjustRightInd w:val="0"/>
        <w:snapToGrid w:val="0"/>
        <w:spacing w:line="360" w:lineRule="auto"/>
        <w:ind w:firstLine="480" w:firstLineChars="200"/>
        <w:rPr>
          <w:rFonts w:hint="eastAsia" w:ascii="仿宋" w:hAnsi="仿宋" w:eastAsia="仿宋" w:cs="仿宋"/>
          <w:bCs/>
          <w:color w:val="auto"/>
          <w:kern w:val="11"/>
          <w:sz w:val="24"/>
          <w:szCs w:val="24"/>
          <w:lang w:val="en-US" w:eastAsia="zh-CN"/>
        </w:rPr>
      </w:pPr>
      <w:r>
        <w:rPr>
          <w:rFonts w:hint="eastAsia" w:ascii="仿宋" w:hAnsi="仿宋" w:eastAsia="仿宋" w:cs="仿宋"/>
          <w:bCs/>
          <w:color w:val="auto"/>
          <w:kern w:val="11"/>
          <w:sz w:val="24"/>
          <w:szCs w:val="24"/>
        </w:rPr>
        <w:t>5.付款方式</w:t>
      </w:r>
      <w:r>
        <w:rPr>
          <w:rFonts w:hint="eastAsia" w:ascii="仿宋" w:hAnsi="仿宋" w:eastAsia="仿宋" w:cs="仿宋"/>
          <w:bCs/>
          <w:color w:val="auto"/>
          <w:kern w:val="11"/>
          <w:sz w:val="24"/>
          <w:szCs w:val="24"/>
          <w:lang w:val="en-US" w:eastAsia="zh-CN"/>
        </w:rPr>
        <w:t>与履约保证金</w:t>
      </w:r>
    </w:p>
    <w:p w14:paraId="60393919">
      <w:pPr>
        <w:adjustRightInd w:val="0"/>
        <w:snapToGrid w:val="0"/>
        <w:spacing w:line="360" w:lineRule="auto"/>
        <w:ind w:firstLine="480" w:firstLineChars="200"/>
        <w:rPr>
          <w:rFonts w:hint="eastAsia" w:ascii="仿宋" w:hAnsi="仿宋" w:eastAsia="仿宋" w:cs="仿宋"/>
          <w:bCs/>
          <w:color w:val="auto"/>
          <w:kern w:val="11"/>
          <w:sz w:val="24"/>
          <w:szCs w:val="24"/>
        </w:rPr>
      </w:pPr>
      <w:r>
        <w:rPr>
          <w:rFonts w:hint="eastAsia" w:ascii="仿宋" w:hAnsi="仿宋" w:eastAsia="仿宋" w:cs="仿宋"/>
          <w:bCs/>
          <w:color w:val="auto"/>
          <w:kern w:val="11"/>
          <w:sz w:val="24"/>
          <w:szCs w:val="24"/>
          <w:lang w:val="en-US" w:eastAsia="zh-CN"/>
        </w:rPr>
        <w:t>5.1付款方式</w:t>
      </w:r>
      <w:r>
        <w:rPr>
          <w:rFonts w:hint="eastAsia" w:ascii="仿宋" w:hAnsi="仿宋" w:eastAsia="仿宋" w:cs="仿宋"/>
          <w:bCs/>
          <w:color w:val="auto"/>
          <w:kern w:val="11"/>
          <w:sz w:val="24"/>
          <w:szCs w:val="24"/>
        </w:rPr>
        <w:t>:</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验收合格后，由</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按照每批次结算价额开具等额正式发票，</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收到</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提供的等额正式发票后</w:t>
      </w:r>
      <w:r>
        <w:rPr>
          <w:rFonts w:hint="eastAsia" w:ascii="仿宋" w:hAnsi="仿宋" w:eastAsia="仿宋" w:cs="仿宋"/>
          <w:bCs/>
          <w:color w:val="auto"/>
          <w:kern w:val="11"/>
          <w:sz w:val="24"/>
          <w:szCs w:val="24"/>
          <w:lang w:val="en-US" w:eastAsia="zh-CN"/>
        </w:rPr>
        <w:t>60</w:t>
      </w:r>
      <w:r>
        <w:rPr>
          <w:rFonts w:hint="eastAsia" w:ascii="仿宋" w:hAnsi="仿宋" w:eastAsia="仿宋" w:cs="仿宋"/>
          <w:bCs/>
          <w:color w:val="auto"/>
          <w:kern w:val="11"/>
          <w:sz w:val="24"/>
          <w:szCs w:val="24"/>
          <w:lang w:eastAsia="zh-CN"/>
        </w:rPr>
        <w:t>天</w:t>
      </w:r>
      <w:r>
        <w:rPr>
          <w:rFonts w:hint="eastAsia" w:ascii="仿宋" w:hAnsi="仿宋" w:eastAsia="仿宋" w:cs="仿宋"/>
          <w:bCs/>
          <w:color w:val="auto"/>
          <w:kern w:val="11"/>
          <w:sz w:val="24"/>
          <w:szCs w:val="24"/>
        </w:rPr>
        <w:t>内一次性付清每批次货款。</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收款信息如下：</w:t>
      </w:r>
    </w:p>
    <w:p w14:paraId="1E1EA71A">
      <w:pPr>
        <w:pStyle w:val="5"/>
        <w:keepNext w:val="0"/>
        <w:keepLines w:val="0"/>
        <w:pageBreakBefore w:val="0"/>
        <w:widowControl w:val="0"/>
        <w:kinsoku/>
        <w:wordWrap/>
        <w:overflowPunct/>
        <w:topLinePunct w:val="0"/>
        <w:bidi w:val="0"/>
        <w:snapToGrid/>
        <w:ind w:firstLine="480" w:firstLineChars="200"/>
        <w:textAlignment w:val="auto"/>
        <w:rPr>
          <w:rFonts w:hint="default" w:ascii="仿宋" w:hAnsi="仿宋" w:eastAsia="仿宋" w:cs="仿宋"/>
          <w:bCs/>
          <w:color w:val="auto"/>
          <w:kern w:val="11"/>
          <w:sz w:val="24"/>
          <w:szCs w:val="24"/>
          <w:lang w:val="en-US" w:eastAsia="zh-CN"/>
        </w:rPr>
      </w:pPr>
      <w:r>
        <w:rPr>
          <w:rFonts w:ascii="仿宋" w:hAnsi="仿宋" w:eastAsia="仿宋" w:cs="仿宋"/>
          <w:bCs/>
          <w:color w:val="auto"/>
          <w:kern w:val="11"/>
          <w:sz w:val="24"/>
          <w:szCs w:val="24"/>
        </w:rPr>
        <w:t>（1）账户名称：</w:t>
      </w:r>
    </w:p>
    <w:p w14:paraId="74628FF6">
      <w:pPr>
        <w:pStyle w:val="16"/>
        <w:keepNext w:val="0"/>
        <w:keepLines w:val="0"/>
        <w:pageBreakBefore w:val="0"/>
        <w:widowControl w:val="0"/>
        <w:kinsoku/>
        <w:wordWrap/>
        <w:overflowPunct/>
        <w:topLinePunct w:val="0"/>
        <w:bidi w:val="0"/>
        <w:snapToGrid/>
        <w:ind w:left="0" w:leftChars="0" w:firstLine="480" w:firstLineChars="200"/>
        <w:textAlignment w:val="auto"/>
        <w:rPr>
          <w:rFonts w:hint="eastAsia" w:ascii="仿宋" w:hAnsi="仿宋" w:eastAsia="仿宋" w:cs="仿宋"/>
          <w:b w:val="0"/>
          <w:bCs/>
          <w:color w:val="auto"/>
          <w:sz w:val="24"/>
          <w:szCs w:val="24"/>
        </w:rPr>
      </w:pPr>
      <w:r>
        <w:rPr>
          <w:rFonts w:ascii="仿宋" w:hAnsi="仿宋" w:eastAsia="仿宋" w:cs="仿宋"/>
          <w:bCs/>
          <w:color w:val="auto"/>
          <w:kern w:val="11"/>
          <w:sz w:val="24"/>
          <w:szCs w:val="24"/>
        </w:rPr>
        <w:t>（2）开户行：</w:t>
      </w:r>
    </w:p>
    <w:p w14:paraId="613DD1B8">
      <w:pPr>
        <w:pStyle w:val="16"/>
        <w:keepNext w:val="0"/>
        <w:keepLines w:val="0"/>
        <w:pageBreakBefore w:val="0"/>
        <w:widowControl w:val="0"/>
        <w:kinsoku/>
        <w:wordWrap/>
        <w:overflowPunct/>
        <w:topLinePunct w:val="0"/>
        <w:bidi w:val="0"/>
        <w:snapToGrid/>
        <w:ind w:firstLine="480" w:firstLineChars="200"/>
        <w:textAlignment w:val="auto"/>
        <w:rPr>
          <w:rFonts w:hint="eastAsia" w:ascii="仿宋" w:hAnsi="仿宋" w:eastAsia="仿宋" w:cs="仿宋"/>
          <w:b w:val="0"/>
          <w:bCs/>
          <w:color w:val="auto"/>
          <w:sz w:val="24"/>
          <w:szCs w:val="24"/>
          <w:highlight w:val="none"/>
        </w:rPr>
      </w:pPr>
      <w:r>
        <w:rPr>
          <w:rFonts w:ascii="仿宋" w:hAnsi="仿宋" w:eastAsia="仿宋" w:cs="仿宋"/>
          <w:bCs/>
          <w:color w:val="auto"/>
          <w:kern w:val="11"/>
          <w:sz w:val="24"/>
          <w:szCs w:val="24"/>
        </w:rPr>
        <w:t>（3</w:t>
      </w:r>
      <w:r>
        <w:rPr>
          <w:rFonts w:ascii="仿宋" w:hAnsi="仿宋" w:eastAsia="仿宋" w:cs="仿宋"/>
          <w:bCs/>
          <w:color w:val="auto"/>
          <w:kern w:val="11"/>
          <w:sz w:val="24"/>
          <w:szCs w:val="24"/>
          <w:highlight w:val="none"/>
        </w:rPr>
        <w:t>）账号：</w:t>
      </w:r>
    </w:p>
    <w:p w14:paraId="1632C7D8">
      <w:pPr>
        <w:pStyle w:val="16"/>
        <w:keepNext w:val="0"/>
        <w:keepLines w:val="0"/>
        <w:pageBreakBefore w:val="0"/>
        <w:widowControl w:val="0"/>
        <w:kinsoku/>
        <w:wordWrap/>
        <w:overflowPunct/>
        <w:topLinePunct w:val="0"/>
        <w:bidi w:val="0"/>
        <w:snapToGrid/>
        <w:ind w:firstLine="480" w:firstLineChars="20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highlight w:val="none"/>
          <w:lang w:val="en-US" w:eastAsia="zh-CN"/>
        </w:rPr>
        <w:t>5.2履约保证金：收取比例</w:t>
      </w:r>
      <w:r>
        <w:rPr>
          <w:rFonts w:hint="eastAsia" w:ascii="仿宋" w:hAnsi="仿宋" w:eastAsia="仿宋" w:cs="仿宋"/>
          <w:b w:val="0"/>
          <w:bCs/>
          <w:color w:val="auto"/>
          <w:sz w:val="24"/>
          <w:szCs w:val="24"/>
          <w:lang w:val="en-US" w:eastAsia="zh-CN"/>
        </w:rPr>
        <w:t>：5%，说明：（1）合同签订后15个工作日内，中标供应商将履约保证金（合同价的5%）以银行保函或转账方式办理，并向采购人提供银行保函或转账凭证，待项目保修期结束后，中标供应商自行办理退还履约保证金（无息）手续（若提供银行保函，银行保函的有效日期直到质保期结束）；若中标供应商在合同履行期间违约，采购人有权从履约担保中扣除违约金，履约担保金额不足以扣除的部分采购人可向中标供应商进一步索赔。若中标供应商不履行与采购人订立的合同的或者项目未能通过最终验收的，采购人将不予退还履约保证金或不解除履约保函。（2）中标供应商没有提交履约保证金的，采购人有权取消其中标资格，中标供应商应当对采购人的损失承担赔偿责任。</w:t>
      </w:r>
    </w:p>
    <w:p w14:paraId="791C1068">
      <w:pPr>
        <w:adjustRightInd w:val="0"/>
        <w:snapToGrid w:val="0"/>
        <w:spacing w:line="360" w:lineRule="auto"/>
        <w:ind w:firstLine="480" w:firstLineChars="200"/>
        <w:rPr>
          <w:rFonts w:hint="eastAsia" w:ascii="仿宋" w:hAnsi="仿宋" w:eastAsia="仿宋" w:cs="仿宋"/>
          <w:bCs/>
          <w:color w:val="auto"/>
          <w:kern w:val="11"/>
          <w:sz w:val="24"/>
          <w:szCs w:val="24"/>
        </w:rPr>
      </w:pPr>
      <w:r>
        <w:rPr>
          <w:rFonts w:hint="eastAsia" w:ascii="仿宋" w:hAnsi="仿宋" w:eastAsia="仿宋" w:cs="仿宋"/>
          <w:bCs/>
          <w:color w:val="auto"/>
          <w:kern w:val="11"/>
          <w:sz w:val="24"/>
          <w:szCs w:val="24"/>
        </w:rPr>
        <w:t>6.交货日期：自</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收到</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的订单通知之日起30日内发到</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收货地点。</w:t>
      </w:r>
    </w:p>
    <w:p w14:paraId="65B1626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bCs/>
          <w:color w:val="auto"/>
          <w:kern w:val="11"/>
          <w:sz w:val="24"/>
          <w:szCs w:val="24"/>
        </w:rPr>
        <w:t>7．违约责任：</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交付的货物不符合招标文件、投标文件或本合同规定的，</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有权拒收，</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有权解除合同，要求</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退还</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已经支付的款项，并且</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向</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支付合同总价5%的违约金；</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不能按时交货的，每逾期一天，</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应按合同金价万分之三向</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支付违约金，逾期超过10日，</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有权解除合同，要求</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退还</w:t>
      </w:r>
      <w:r>
        <w:rPr>
          <w:rFonts w:hint="eastAsia" w:ascii="仿宋" w:hAnsi="仿宋" w:eastAsia="仿宋" w:cs="仿宋"/>
          <w:bCs/>
          <w:color w:val="auto"/>
          <w:kern w:val="11"/>
          <w:sz w:val="24"/>
          <w:szCs w:val="24"/>
          <w:lang w:eastAsia="zh-CN"/>
        </w:rPr>
        <w:t>采购人</w:t>
      </w:r>
      <w:r>
        <w:rPr>
          <w:rFonts w:hint="eastAsia" w:ascii="仿宋" w:hAnsi="仿宋" w:eastAsia="仿宋" w:cs="仿宋"/>
          <w:bCs/>
          <w:color w:val="auto"/>
          <w:kern w:val="11"/>
          <w:sz w:val="24"/>
          <w:szCs w:val="24"/>
        </w:rPr>
        <w:t>已经支付的款项，并有权要求</w:t>
      </w:r>
      <w:r>
        <w:rPr>
          <w:rFonts w:hint="eastAsia" w:ascii="仿宋" w:hAnsi="仿宋" w:eastAsia="仿宋" w:cs="仿宋"/>
          <w:bCs/>
          <w:color w:val="auto"/>
          <w:kern w:val="11"/>
          <w:sz w:val="24"/>
          <w:szCs w:val="24"/>
          <w:lang w:eastAsia="zh-CN"/>
        </w:rPr>
        <w:t>中标供应商</w:t>
      </w:r>
      <w:r>
        <w:rPr>
          <w:rFonts w:hint="eastAsia" w:ascii="仿宋" w:hAnsi="仿宋" w:eastAsia="仿宋" w:cs="仿宋"/>
          <w:bCs/>
          <w:color w:val="auto"/>
          <w:kern w:val="11"/>
          <w:sz w:val="24"/>
          <w:szCs w:val="24"/>
        </w:rPr>
        <w:t>支付合同总价的20%作为违约金。其他违约责任按照《中华人民共和国民法典》处理。</w:t>
      </w:r>
    </w:p>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公文黑体">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AEC7C"/>
    <w:multiLevelType w:val="singleLevel"/>
    <w:tmpl w:val="D81AEC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08CB6FC4"/>
    <w:rsid w:val="00136767"/>
    <w:rsid w:val="002A3235"/>
    <w:rsid w:val="002C6E5B"/>
    <w:rsid w:val="00595246"/>
    <w:rsid w:val="007A5061"/>
    <w:rsid w:val="00B458B3"/>
    <w:rsid w:val="00BD287B"/>
    <w:rsid w:val="00DA485F"/>
    <w:rsid w:val="00DC7C1D"/>
    <w:rsid w:val="01161381"/>
    <w:rsid w:val="017240DE"/>
    <w:rsid w:val="02C24BF1"/>
    <w:rsid w:val="02F474A0"/>
    <w:rsid w:val="06053772"/>
    <w:rsid w:val="060C1AC2"/>
    <w:rsid w:val="06840264"/>
    <w:rsid w:val="06994FD7"/>
    <w:rsid w:val="069B7C33"/>
    <w:rsid w:val="06F86757"/>
    <w:rsid w:val="08023127"/>
    <w:rsid w:val="08BE1C2B"/>
    <w:rsid w:val="08CB6FC4"/>
    <w:rsid w:val="08E04023"/>
    <w:rsid w:val="092E2FE0"/>
    <w:rsid w:val="0AD675EE"/>
    <w:rsid w:val="0ADB2CF4"/>
    <w:rsid w:val="0B610D74"/>
    <w:rsid w:val="0B852C90"/>
    <w:rsid w:val="0C1C6680"/>
    <w:rsid w:val="0C346B5F"/>
    <w:rsid w:val="0C9E323E"/>
    <w:rsid w:val="0CAF4438"/>
    <w:rsid w:val="0EB126E9"/>
    <w:rsid w:val="0F274759"/>
    <w:rsid w:val="0FD32136"/>
    <w:rsid w:val="105B79DD"/>
    <w:rsid w:val="123E190B"/>
    <w:rsid w:val="124F5E1C"/>
    <w:rsid w:val="14FE77A1"/>
    <w:rsid w:val="15843B54"/>
    <w:rsid w:val="169F72CB"/>
    <w:rsid w:val="16A62408"/>
    <w:rsid w:val="17AF1790"/>
    <w:rsid w:val="17E42FA9"/>
    <w:rsid w:val="181B7D69"/>
    <w:rsid w:val="18CD6371"/>
    <w:rsid w:val="19C957FA"/>
    <w:rsid w:val="1A1E49AB"/>
    <w:rsid w:val="1A223074"/>
    <w:rsid w:val="1B8D1DE8"/>
    <w:rsid w:val="1BA86C22"/>
    <w:rsid w:val="1D0B7468"/>
    <w:rsid w:val="1D70376F"/>
    <w:rsid w:val="1E014264"/>
    <w:rsid w:val="1E330014"/>
    <w:rsid w:val="1E7B6896"/>
    <w:rsid w:val="1F367FAE"/>
    <w:rsid w:val="1FD75D28"/>
    <w:rsid w:val="20471F39"/>
    <w:rsid w:val="215F5FD5"/>
    <w:rsid w:val="21A460DD"/>
    <w:rsid w:val="22253F61"/>
    <w:rsid w:val="2265761B"/>
    <w:rsid w:val="22A005D2"/>
    <w:rsid w:val="22A85759"/>
    <w:rsid w:val="22DD3655"/>
    <w:rsid w:val="22E23150"/>
    <w:rsid w:val="230706D2"/>
    <w:rsid w:val="244F122E"/>
    <w:rsid w:val="245416F5"/>
    <w:rsid w:val="24764DA5"/>
    <w:rsid w:val="24FE5B05"/>
    <w:rsid w:val="254C2D14"/>
    <w:rsid w:val="28937771"/>
    <w:rsid w:val="289E0A26"/>
    <w:rsid w:val="291476A5"/>
    <w:rsid w:val="294D204F"/>
    <w:rsid w:val="2A3D0E7D"/>
    <w:rsid w:val="2B0F45C8"/>
    <w:rsid w:val="2BAF32DD"/>
    <w:rsid w:val="2D291EC1"/>
    <w:rsid w:val="2DD85145"/>
    <w:rsid w:val="2E086552"/>
    <w:rsid w:val="2F260132"/>
    <w:rsid w:val="2F6824F8"/>
    <w:rsid w:val="30CE0A81"/>
    <w:rsid w:val="30DF67EA"/>
    <w:rsid w:val="3146720F"/>
    <w:rsid w:val="31A215E1"/>
    <w:rsid w:val="31AA504A"/>
    <w:rsid w:val="334B0167"/>
    <w:rsid w:val="33D07D59"/>
    <w:rsid w:val="34E46AC5"/>
    <w:rsid w:val="35120A01"/>
    <w:rsid w:val="359758E5"/>
    <w:rsid w:val="36056F65"/>
    <w:rsid w:val="361F7F47"/>
    <w:rsid w:val="365816B9"/>
    <w:rsid w:val="370A729F"/>
    <w:rsid w:val="37BF1123"/>
    <w:rsid w:val="384358B1"/>
    <w:rsid w:val="3949409C"/>
    <w:rsid w:val="39583D4B"/>
    <w:rsid w:val="39893797"/>
    <w:rsid w:val="3BB32D4D"/>
    <w:rsid w:val="3BE92C13"/>
    <w:rsid w:val="3CB925E5"/>
    <w:rsid w:val="3D17730C"/>
    <w:rsid w:val="3D8449A1"/>
    <w:rsid w:val="3DBA4867"/>
    <w:rsid w:val="3E4466D5"/>
    <w:rsid w:val="3E8E6393"/>
    <w:rsid w:val="3EC97E6D"/>
    <w:rsid w:val="3F550388"/>
    <w:rsid w:val="3FB452E6"/>
    <w:rsid w:val="40F761A9"/>
    <w:rsid w:val="41682EF1"/>
    <w:rsid w:val="41DE1D3C"/>
    <w:rsid w:val="423579D1"/>
    <w:rsid w:val="435819B7"/>
    <w:rsid w:val="43EB7685"/>
    <w:rsid w:val="446C73BC"/>
    <w:rsid w:val="448B69A4"/>
    <w:rsid w:val="450D1D8B"/>
    <w:rsid w:val="45390767"/>
    <w:rsid w:val="453B382E"/>
    <w:rsid w:val="45DC4237"/>
    <w:rsid w:val="4651388E"/>
    <w:rsid w:val="46D81671"/>
    <w:rsid w:val="46E60C47"/>
    <w:rsid w:val="47856709"/>
    <w:rsid w:val="49543A58"/>
    <w:rsid w:val="4A471230"/>
    <w:rsid w:val="4BCA55B8"/>
    <w:rsid w:val="4C716A38"/>
    <w:rsid w:val="4C9D2166"/>
    <w:rsid w:val="4D2E492A"/>
    <w:rsid w:val="4E8C3CA1"/>
    <w:rsid w:val="51053BF3"/>
    <w:rsid w:val="511D0F3D"/>
    <w:rsid w:val="51D20869"/>
    <w:rsid w:val="5287651C"/>
    <w:rsid w:val="533B5996"/>
    <w:rsid w:val="53422EDD"/>
    <w:rsid w:val="53B06098"/>
    <w:rsid w:val="53EA0E7E"/>
    <w:rsid w:val="54181E8F"/>
    <w:rsid w:val="55D3478A"/>
    <w:rsid w:val="55FB7373"/>
    <w:rsid w:val="5641344B"/>
    <w:rsid w:val="56B0015D"/>
    <w:rsid w:val="570A3D11"/>
    <w:rsid w:val="57EF277A"/>
    <w:rsid w:val="598002BB"/>
    <w:rsid w:val="5AC42429"/>
    <w:rsid w:val="5B9139B7"/>
    <w:rsid w:val="5BAB43B7"/>
    <w:rsid w:val="5D9F42DA"/>
    <w:rsid w:val="5E4E6BDA"/>
    <w:rsid w:val="5E932412"/>
    <w:rsid w:val="5EA20CD3"/>
    <w:rsid w:val="5EDF4BCF"/>
    <w:rsid w:val="5F25422C"/>
    <w:rsid w:val="6058186C"/>
    <w:rsid w:val="61CF1E11"/>
    <w:rsid w:val="62326812"/>
    <w:rsid w:val="62B24547"/>
    <w:rsid w:val="63D2107D"/>
    <w:rsid w:val="64634A61"/>
    <w:rsid w:val="646F78AA"/>
    <w:rsid w:val="664803B2"/>
    <w:rsid w:val="67281F92"/>
    <w:rsid w:val="678C2521"/>
    <w:rsid w:val="683704D6"/>
    <w:rsid w:val="683815D2"/>
    <w:rsid w:val="686925AE"/>
    <w:rsid w:val="68FE11FC"/>
    <w:rsid w:val="69643755"/>
    <w:rsid w:val="6A102F95"/>
    <w:rsid w:val="6AB733D0"/>
    <w:rsid w:val="6ABE0CB5"/>
    <w:rsid w:val="6BAF67DE"/>
    <w:rsid w:val="6C5850C7"/>
    <w:rsid w:val="6C784BBF"/>
    <w:rsid w:val="6D193E61"/>
    <w:rsid w:val="6DF13761"/>
    <w:rsid w:val="71082F11"/>
    <w:rsid w:val="718524BB"/>
    <w:rsid w:val="721D0945"/>
    <w:rsid w:val="728C5ACB"/>
    <w:rsid w:val="737F4A29"/>
    <w:rsid w:val="73AD5CF9"/>
    <w:rsid w:val="74FD10F8"/>
    <w:rsid w:val="758331B5"/>
    <w:rsid w:val="759F78C3"/>
    <w:rsid w:val="75EF43A6"/>
    <w:rsid w:val="76085468"/>
    <w:rsid w:val="764F3097"/>
    <w:rsid w:val="78511348"/>
    <w:rsid w:val="788348F2"/>
    <w:rsid w:val="78BB6EBE"/>
    <w:rsid w:val="78D36201"/>
    <w:rsid w:val="78E55F35"/>
    <w:rsid w:val="7A24483B"/>
    <w:rsid w:val="7BA15D4D"/>
    <w:rsid w:val="7BE14791"/>
    <w:rsid w:val="7BF0285E"/>
    <w:rsid w:val="7C547044"/>
    <w:rsid w:val="7C6E1023"/>
    <w:rsid w:val="7D07647A"/>
    <w:rsid w:val="7E751B09"/>
    <w:rsid w:val="7F363046"/>
    <w:rsid w:val="7F69341C"/>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keepLines/>
      <w:outlineLvl w:val="1"/>
    </w:pPr>
    <w:rPr>
      <w:rFonts w:ascii="宋体" w:hAnsi="宋体"/>
      <w:b/>
      <w:szCs w:val="21"/>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99"/>
  </w:style>
  <w:style w:type="paragraph" w:styleId="4">
    <w:name w:val="Body Text"/>
    <w:basedOn w:val="1"/>
    <w:next w:val="5"/>
    <w:autoRedefine/>
    <w:qFormat/>
    <w:uiPriority w:val="0"/>
    <w:pPr>
      <w:spacing w:line="360" w:lineRule="auto"/>
    </w:pPr>
    <w:rPr>
      <w:szCs w:val="20"/>
    </w:rPr>
  </w:style>
  <w:style w:type="paragraph" w:styleId="5">
    <w:name w:val="Body Text First Indent"/>
    <w:basedOn w:val="4"/>
    <w:next w:val="1"/>
    <w:qFormat/>
    <w:uiPriority w:val="0"/>
    <w:pPr>
      <w:autoSpaceDE w:val="0"/>
      <w:autoSpaceDN w:val="0"/>
      <w:adjustRightInd w:val="0"/>
      <w:spacing w:line="360" w:lineRule="auto"/>
      <w:ind w:firstLine="420" w:firstLineChars="100"/>
    </w:pPr>
    <w:rPr>
      <w:szCs w:val="24"/>
    </w:rPr>
  </w:style>
  <w:style w:type="paragraph" w:styleId="6">
    <w:name w:val="Plain Text"/>
    <w:basedOn w:val="1"/>
    <w:autoRedefine/>
    <w:unhideWhenUsed/>
    <w:qFormat/>
    <w:uiPriority w:val="0"/>
    <w:rPr>
      <w:rFonts w:ascii="宋体" w:hAnsi="Courier New"/>
      <w:szCs w:val="20"/>
    </w:rPr>
  </w:style>
  <w:style w:type="paragraph" w:styleId="7">
    <w:name w:val="Balloon Text"/>
    <w:basedOn w:val="1"/>
    <w:link w:val="17"/>
    <w:autoRedefine/>
    <w:qFormat/>
    <w:uiPriority w:val="0"/>
    <w:rPr>
      <w:sz w:val="18"/>
      <w:szCs w:val="18"/>
    </w:rPr>
  </w:style>
  <w:style w:type="paragraph" w:styleId="8">
    <w:name w:val="footer"/>
    <w:basedOn w:val="1"/>
    <w:link w:val="19"/>
    <w:autoRedefine/>
    <w:qFormat/>
    <w:uiPriority w:val="0"/>
    <w:pPr>
      <w:tabs>
        <w:tab w:val="center" w:pos="4153"/>
        <w:tab w:val="right" w:pos="8306"/>
      </w:tabs>
      <w:snapToGrid w:val="0"/>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表格文字"/>
    <w:basedOn w:val="1"/>
    <w:qFormat/>
    <w:uiPriority w:val="0"/>
    <w:pPr>
      <w:spacing w:line="240" w:lineRule="auto"/>
    </w:pPr>
    <w:rPr>
      <w:spacing w:val="10"/>
    </w:rPr>
  </w:style>
  <w:style w:type="paragraph" w:customStyle="1" w:styleId="15">
    <w:name w:val="Table Paragraph"/>
    <w:basedOn w:val="1"/>
    <w:autoRedefine/>
    <w:qFormat/>
    <w:uiPriority w:val="1"/>
  </w:style>
  <w:style w:type="paragraph" w:styleId="16">
    <w:name w:val="List Paragraph"/>
    <w:basedOn w:val="1"/>
    <w:autoRedefine/>
    <w:qFormat/>
    <w:uiPriority w:val="99"/>
    <w:pPr>
      <w:ind w:firstLine="420" w:firstLineChars="200"/>
    </w:pPr>
  </w:style>
  <w:style w:type="character" w:customStyle="1" w:styleId="17">
    <w:name w:val="批注框文本 字符"/>
    <w:basedOn w:val="12"/>
    <w:link w:val="7"/>
    <w:autoRedefine/>
    <w:qFormat/>
    <w:uiPriority w:val="0"/>
    <w:rPr>
      <w:rFonts w:asciiTheme="minorHAnsi" w:hAnsiTheme="minorHAnsi" w:eastAsiaTheme="minorHAnsi" w:cstheme="minorBidi"/>
      <w:sz w:val="18"/>
      <w:szCs w:val="18"/>
      <w:lang w:eastAsia="en-US"/>
    </w:rPr>
  </w:style>
  <w:style w:type="character" w:customStyle="1" w:styleId="18">
    <w:name w:val="页眉 字符"/>
    <w:basedOn w:val="12"/>
    <w:link w:val="9"/>
    <w:autoRedefine/>
    <w:qFormat/>
    <w:uiPriority w:val="0"/>
    <w:rPr>
      <w:rFonts w:asciiTheme="minorHAnsi" w:hAnsiTheme="minorHAnsi" w:eastAsiaTheme="minorHAnsi" w:cstheme="minorBidi"/>
      <w:sz w:val="18"/>
      <w:szCs w:val="18"/>
      <w:lang w:eastAsia="en-US"/>
    </w:rPr>
  </w:style>
  <w:style w:type="character" w:customStyle="1" w:styleId="19">
    <w:name w:val="页脚 字符"/>
    <w:basedOn w:val="12"/>
    <w:link w:val="8"/>
    <w:autoRedefine/>
    <w:qFormat/>
    <w:uiPriority w:val="0"/>
    <w:rPr>
      <w:rFonts w:asciiTheme="minorHAnsi" w:hAnsiTheme="minorHAnsi" w:eastAsiaTheme="minorHAnsi" w:cstheme="minorBidi"/>
      <w:sz w:val="18"/>
      <w:szCs w:val="18"/>
      <w:lang w:eastAsia="en-US"/>
    </w:rPr>
  </w:style>
  <w:style w:type="paragraph" w:customStyle="1" w:styleId="20">
    <w:name w:val="null3"/>
    <w:hidden/>
    <w:qFormat/>
    <w:uiPriority w:val="0"/>
    <w:rPr>
      <w:rFonts w:hint="eastAsia" w:asciiTheme="minorHAnsi" w:hAnsiTheme="minorHAnsi" w:eastAsiaTheme="minorEastAsia" w:cstheme="minorBidi"/>
      <w:lang w:val="en-US" w:eastAsia="zh-Hans" w:bidi="ar-SA"/>
    </w:rPr>
  </w:style>
  <w:style w:type="character" w:customStyle="1" w:styleId="21">
    <w:name w:val="font31"/>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3657</Words>
  <Characters>3760</Characters>
  <Lines>93</Lines>
  <Paragraphs>26</Paragraphs>
  <TotalTime>1</TotalTime>
  <ScaleCrop>false</ScaleCrop>
  <LinksUpToDate>false</LinksUpToDate>
  <CharactersWithSpaces>3775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KK</dc:creator>
  <cp:lastModifiedBy>健超</cp:lastModifiedBy>
  <cp:lastPrinted>2023-12-15T02:46:00Z</cp:lastPrinted>
  <dcterms:modified xsi:type="dcterms:W3CDTF">2025-01-21T03:05:06Z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73E140350CE74D6487AB8AA0A573BEE3_11</vt:lpwstr>
  </property>
  <property fmtid="{D5CDD505-2E9C-101B-9397-08002B2CF9AE}" pid="4" name="KSOTemplateDocerSaveRecord">
    <vt:lpwstr>eyJoZGlkIjoiYzc3NjY0YTY4Y2U4NDg0M2E4MWJkOTVlNDc3MjU2MGYiLCJ1c2VySWQiOiIzNTMyNjkyODgifQ==</vt:lpwstr>
  </property>
</Properties>
</file>